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AF7" w:rsidRDefault="00E37AF7" w:rsidP="00527ECA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Wymagania dokumentacyjne wobec kabli i przewodów elektrycznych </w:t>
      </w:r>
      <w:r w:rsidR="00F62DEC">
        <w:rPr>
          <w:b/>
          <w:sz w:val="36"/>
          <w:szCs w:val="36"/>
        </w:rPr>
        <w:t xml:space="preserve">wynikające z prawa UE </w:t>
      </w:r>
      <w:r>
        <w:rPr>
          <w:b/>
          <w:sz w:val="36"/>
          <w:szCs w:val="36"/>
        </w:rPr>
        <w:t xml:space="preserve">- stan prawny w Polsce </w:t>
      </w:r>
      <w:r w:rsidR="00846B46">
        <w:rPr>
          <w:b/>
          <w:sz w:val="36"/>
          <w:szCs w:val="36"/>
        </w:rPr>
        <w:t xml:space="preserve">rok </w:t>
      </w:r>
      <w:r>
        <w:rPr>
          <w:b/>
          <w:sz w:val="36"/>
          <w:szCs w:val="36"/>
        </w:rPr>
        <w:t>201</w:t>
      </w:r>
      <w:r w:rsidR="00846B46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 xml:space="preserve"> </w:t>
      </w:r>
    </w:p>
    <w:p w:rsidR="001069A3" w:rsidRDefault="004C1295" w:rsidP="00F62DEC">
      <w:pPr>
        <w:jc w:val="center"/>
        <w:rPr>
          <w:b/>
          <w:sz w:val="36"/>
          <w:szCs w:val="36"/>
        </w:rPr>
      </w:pPr>
      <w:r w:rsidRPr="007513D8">
        <w:rPr>
          <w:b/>
          <w:sz w:val="36"/>
          <w:szCs w:val="36"/>
        </w:rPr>
        <w:t xml:space="preserve"> </w:t>
      </w:r>
    </w:p>
    <w:p w:rsidR="00F62DEC" w:rsidRPr="00E0163F" w:rsidRDefault="008E25B7" w:rsidP="00F62DEC">
      <w:pPr>
        <w:pStyle w:val="Akapitzlist"/>
        <w:numPr>
          <w:ilvl w:val="0"/>
          <w:numId w:val="1"/>
        </w:numPr>
        <w:spacing w:after="0" w:line="240" w:lineRule="auto"/>
        <w:ind w:left="340" w:hanging="340"/>
        <w:contextualSpacing w:val="0"/>
        <w:rPr>
          <w:b/>
          <w:sz w:val="28"/>
          <w:szCs w:val="28"/>
        </w:rPr>
      </w:pPr>
      <w:r w:rsidRPr="00E0163F">
        <w:rPr>
          <w:b/>
          <w:sz w:val="28"/>
          <w:szCs w:val="28"/>
        </w:rPr>
        <w:t>Kable i p</w:t>
      </w:r>
      <w:r w:rsidR="004C1295" w:rsidRPr="00E0163F">
        <w:rPr>
          <w:b/>
          <w:sz w:val="28"/>
          <w:szCs w:val="28"/>
        </w:rPr>
        <w:t xml:space="preserve">rzewody </w:t>
      </w:r>
      <w:r w:rsidR="006F1A87" w:rsidRPr="00E0163F">
        <w:rPr>
          <w:b/>
          <w:sz w:val="28"/>
          <w:szCs w:val="28"/>
        </w:rPr>
        <w:t xml:space="preserve">instalacyjne </w:t>
      </w:r>
      <w:r w:rsidRPr="00E0163F">
        <w:rPr>
          <w:b/>
          <w:sz w:val="28"/>
          <w:szCs w:val="28"/>
        </w:rPr>
        <w:t xml:space="preserve">na </w:t>
      </w:r>
      <w:r w:rsidR="0052459F" w:rsidRPr="00E0163F">
        <w:rPr>
          <w:b/>
          <w:sz w:val="28"/>
          <w:szCs w:val="28"/>
        </w:rPr>
        <w:t>zakres napięciowy 50-1000 V</w:t>
      </w:r>
      <w:r w:rsidRPr="00E0163F">
        <w:rPr>
          <w:b/>
          <w:sz w:val="28"/>
          <w:szCs w:val="28"/>
        </w:rPr>
        <w:t xml:space="preserve"> prądu przemiennego i 75-1500 V prądu stałego </w:t>
      </w:r>
    </w:p>
    <w:p w:rsidR="00F62DEC" w:rsidRPr="00E0163F" w:rsidRDefault="00F62DEC" w:rsidP="00F62DEC">
      <w:pPr>
        <w:spacing w:after="0" w:line="240" w:lineRule="auto"/>
        <w:ind w:left="-153"/>
        <w:rPr>
          <w:b/>
          <w:sz w:val="28"/>
          <w:szCs w:val="28"/>
        </w:rPr>
      </w:pPr>
      <w:r w:rsidRPr="00E0163F">
        <w:rPr>
          <w:b/>
          <w:sz w:val="28"/>
          <w:szCs w:val="28"/>
        </w:rPr>
        <w:t xml:space="preserve">       </w:t>
      </w:r>
      <w:r w:rsidR="00A83000" w:rsidRPr="00E0163F">
        <w:rPr>
          <w:b/>
          <w:sz w:val="28"/>
          <w:szCs w:val="28"/>
        </w:rPr>
        <w:t>K</w:t>
      </w:r>
      <w:r w:rsidR="00727E60" w:rsidRPr="00E0163F">
        <w:rPr>
          <w:b/>
          <w:sz w:val="28"/>
          <w:szCs w:val="28"/>
        </w:rPr>
        <w:t xml:space="preserve">able </w:t>
      </w:r>
      <w:r w:rsidR="006F1A87" w:rsidRPr="00E0163F">
        <w:rPr>
          <w:b/>
          <w:sz w:val="28"/>
          <w:szCs w:val="28"/>
        </w:rPr>
        <w:t xml:space="preserve">antenowe </w:t>
      </w:r>
      <w:r w:rsidR="00727E60" w:rsidRPr="00E0163F">
        <w:rPr>
          <w:b/>
          <w:sz w:val="28"/>
          <w:szCs w:val="28"/>
        </w:rPr>
        <w:t xml:space="preserve">współosiowe </w:t>
      </w:r>
    </w:p>
    <w:p w:rsidR="00727E60" w:rsidRPr="00E0163F" w:rsidRDefault="00F62DEC" w:rsidP="00F62DEC">
      <w:pPr>
        <w:spacing w:after="0" w:line="240" w:lineRule="auto"/>
        <w:ind w:left="-153"/>
        <w:rPr>
          <w:b/>
          <w:sz w:val="28"/>
          <w:szCs w:val="28"/>
        </w:rPr>
      </w:pPr>
      <w:r w:rsidRPr="00E0163F">
        <w:rPr>
          <w:b/>
          <w:sz w:val="28"/>
          <w:szCs w:val="28"/>
        </w:rPr>
        <w:t xml:space="preserve">       K</w:t>
      </w:r>
      <w:r w:rsidR="00727E60" w:rsidRPr="00E0163F">
        <w:rPr>
          <w:b/>
          <w:sz w:val="28"/>
          <w:szCs w:val="28"/>
        </w:rPr>
        <w:t>able telekomunikacyjne</w:t>
      </w:r>
      <w:r w:rsidRPr="00E0163F">
        <w:rPr>
          <w:b/>
          <w:sz w:val="28"/>
          <w:szCs w:val="28"/>
        </w:rPr>
        <w:t xml:space="preserve"> miedziane</w:t>
      </w:r>
    </w:p>
    <w:p w:rsidR="00FB21F7" w:rsidRDefault="00FB21F7" w:rsidP="00F62DEC">
      <w:pPr>
        <w:spacing w:after="0" w:line="240" w:lineRule="auto"/>
        <w:ind w:left="-153"/>
        <w:rPr>
          <w:b/>
          <w:sz w:val="32"/>
          <w:szCs w:val="32"/>
        </w:rPr>
      </w:pPr>
    </w:p>
    <w:p w:rsidR="00FB21F7" w:rsidRPr="00E0163F" w:rsidRDefault="00FB21F7" w:rsidP="00FB21F7">
      <w:pPr>
        <w:spacing w:line="240" w:lineRule="auto"/>
        <w:ind w:left="-153"/>
        <w:rPr>
          <w:sz w:val="24"/>
          <w:szCs w:val="24"/>
        </w:rPr>
      </w:pPr>
      <w:r w:rsidRPr="00E0163F">
        <w:rPr>
          <w:sz w:val="24"/>
          <w:szCs w:val="24"/>
        </w:rPr>
        <w:t>Obowiązują dyrektywy UE wdrożone do prawa polskiego Rozporządzeniami:</w:t>
      </w:r>
    </w:p>
    <w:p w:rsidR="00FB21F7" w:rsidRPr="00FB21F7" w:rsidRDefault="00FB21F7" w:rsidP="00FB21F7">
      <w:pPr>
        <w:numPr>
          <w:ilvl w:val="0"/>
          <w:numId w:val="3"/>
        </w:numPr>
        <w:spacing w:after="0" w:line="216" w:lineRule="auto"/>
        <w:contextualSpacing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FB21F7">
        <w:rPr>
          <w:rFonts w:eastAsiaTheme="minorEastAsia" w:cs="Arial"/>
          <w:b/>
          <w:bCs/>
          <w:color w:val="000000" w:themeColor="text1"/>
          <w:kern w:val="24"/>
          <w:sz w:val="24"/>
          <w:szCs w:val="24"/>
          <w:lang w:eastAsia="pl-PL"/>
        </w:rPr>
        <w:t xml:space="preserve">Dyrektywa niskonapięciowa </w:t>
      </w:r>
      <w:r w:rsidRPr="00FB21F7">
        <w:rPr>
          <w:rFonts w:eastAsiaTheme="minorEastAsia" w:cs="Arial"/>
          <w:b/>
          <w:bCs/>
          <w:color w:val="003399"/>
          <w:kern w:val="24"/>
          <w:sz w:val="24"/>
          <w:szCs w:val="24"/>
          <w:lang w:eastAsia="pl-PL"/>
        </w:rPr>
        <w:t>LVD</w:t>
      </w:r>
      <w:r w:rsidRPr="00FB21F7">
        <w:rPr>
          <w:rFonts w:eastAsiaTheme="minorEastAsia" w:cs="Arial"/>
          <w:b/>
          <w:bCs/>
          <w:color w:val="000000" w:themeColor="text1"/>
          <w:kern w:val="24"/>
          <w:sz w:val="24"/>
          <w:szCs w:val="24"/>
          <w:lang w:eastAsia="pl-PL"/>
        </w:rPr>
        <w:t xml:space="preserve"> </w:t>
      </w:r>
      <w:r w:rsidRPr="00E0163F">
        <w:rPr>
          <w:rFonts w:eastAsiaTheme="minorEastAsia" w:cs="Arial"/>
          <w:b/>
          <w:bCs/>
          <w:color w:val="000000" w:themeColor="text1"/>
          <w:kern w:val="24"/>
          <w:sz w:val="24"/>
          <w:szCs w:val="24"/>
          <w:lang w:eastAsia="pl-PL"/>
        </w:rPr>
        <w:t>2014/35/UE</w:t>
      </w:r>
    </w:p>
    <w:p w:rsidR="00FB21F7" w:rsidRPr="00FB21F7" w:rsidRDefault="00FB21F7" w:rsidP="00FB21F7">
      <w:pPr>
        <w:spacing w:before="86" w:line="216" w:lineRule="auto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E0163F">
        <w:rPr>
          <w:rFonts w:eastAsiaTheme="minorEastAsia" w:cs="Arial"/>
          <w:color w:val="000000" w:themeColor="text1"/>
          <w:kern w:val="24"/>
          <w:sz w:val="24"/>
          <w:szCs w:val="24"/>
          <w:lang w:eastAsia="pl-PL"/>
        </w:rPr>
        <w:t xml:space="preserve">Rozporządzenie Ministra Rozwoju z dnia 2 czerwca 2016 r. w sprawie wymagań dla sprzętu elektrycznego </w:t>
      </w:r>
      <w:r w:rsidRPr="00FB21F7">
        <w:rPr>
          <w:rFonts w:eastAsiaTheme="minorEastAsia" w:cs="Arial"/>
          <w:i/>
          <w:iCs/>
          <w:color w:val="000000" w:themeColor="text1"/>
          <w:kern w:val="24"/>
          <w:sz w:val="24"/>
          <w:szCs w:val="24"/>
          <w:lang w:eastAsia="pl-PL"/>
        </w:rPr>
        <w:t>(Dz. U. 20</w:t>
      </w:r>
      <w:r w:rsidRPr="00E0163F">
        <w:rPr>
          <w:rFonts w:eastAsiaTheme="minorEastAsia" w:cs="Arial"/>
          <w:i/>
          <w:iCs/>
          <w:color w:val="000000" w:themeColor="text1"/>
          <w:kern w:val="24"/>
          <w:sz w:val="24"/>
          <w:szCs w:val="24"/>
          <w:lang w:eastAsia="pl-PL"/>
        </w:rPr>
        <w:t xml:space="preserve">16 </w:t>
      </w:r>
      <w:r w:rsidRPr="00FB21F7">
        <w:rPr>
          <w:rFonts w:eastAsiaTheme="minorEastAsia" w:cs="Arial"/>
          <w:i/>
          <w:iCs/>
          <w:color w:val="000000" w:themeColor="text1"/>
          <w:kern w:val="24"/>
          <w:sz w:val="24"/>
          <w:szCs w:val="24"/>
          <w:lang w:eastAsia="pl-PL"/>
        </w:rPr>
        <w:t xml:space="preserve"> poz. </w:t>
      </w:r>
      <w:r w:rsidRPr="00E0163F">
        <w:rPr>
          <w:rFonts w:eastAsiaTheme="minorEastAsia" w:cs="Arial"/>
          <w:i/>
          <w:iCs/>
          <w:color w:val="000000" w:themeColor="text1"/>
          <w:kern w:val="24"/>
          <w:sz w:val="24"/>
          <w:szCs w:val="24"/>
          <w:lang w:eastAsia="pl-PL"/>
        </w:rPr>
        <w:t>806</w:t>
      </w:r>
      <w:r w:rsidRPr="00FB21F7">
        <w:rPr>
          <w:rFonts w:eastAsiaTheme="minorEastAsia" w:cs="Arial"/>
          <w:i/>
          <w:iCs/>
          <w:color w:val="000000" w:themeColor="text1"/>
          <w:kern w:val="24"/>
          <w:sz w:val="24"/>
          <w:szCs w:val="24"/>
          <w:lang w:eastAsia="pl-PL"/>
        </w:rPr>
        <w:t>)</w:t>
      </w:r>
    </w:p>
    <w:p w:rsidR="00FB21F7" w:rsidRPr="00E0163F" w:rsidRDefault="003234BC" w:rsidP="00FB21F7">
      <w:pPr>
        <w:numPr>
          <w:ilvl w:val="0"/>
          <w:numId w:val="4"/>
        </w:numPr>
        <w:spacing w:before="240" w:after="0" w:line="216" w:lineRule="auto"/>
        <w:ind w:left="714" w:hanging="357"/>
        <w:contextualSpacing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E0163F">
        <w:rPr>
          <w:rFonts w:eastAsiaTheme="minorEastAsia" w:cs="Arial"/>
          <w:b/>
          <w:bCs/>
          <w:color w:val="000000" w:themeColor="text1"/>
          <w:kern w:val="24"/>
          <w:sz w:val="24"/>
          <w:szCs w:val="24"/>
          <w:lang w:eastAsia="pl-PL"/>
        </w:rPr>
        <w:t xml:space="preserve">Dyrektywa </w:t>
      </w:r>
      <w:r w:rsidR="00FB21F7" w:rsidRPr="00FB21F7">
        <w:rPr>
          <w:rFonts w:eastAsiaTheme="minorEastAsia" w:cs="Arial"/>
          <w:b/>
          <w:bCs/>
          <w:color w:val="000000" w:themeColor="text1"/>
          <w:kern w:val="24"/>
          <w:sz w:val="24"/>
          <w:szCs w:val="24"/>
          <w:lang w:eastAsia="pl-PL"/>
        </w:rPr>
        <w:t>2011/65/UE</w:t>
      </w:r>
      <w:r w:rsidR="00FB21F7" w:rsidRPr="00FB21F7">
        <w:rPr>
          <w:rFonts w:eastAsiaTheme="minorEastAsia" w:cs="Arial"/>
          <w:color w:val="000000" w:themeColor="text1"/>
          <w:kern w:val="24"/>
          <w:sz w:val="24"/>
          <w:szCs w:val="24"/>
          <w:lang w:eastAsia="pl-PL"/>
        </w:rPr>
        <w:t xml:space="preserve"> parlamentu Europejskiego i Rady  z dnia 8 czerwca 2011 roku w sprawie ograniczenia stosowania niektórych niebezpiecznych substancji w sprzęcie elektrycznym i elektronicznym (</w:t>
      </w:r>
      <w:r w:rsidR="00FB21F7" w:rsidRPr="00FB21F7">
        <w:rPr>
          <w:rFonts w:eastAsiaTheme="minorEastAsia" w:cs="Arial"/>
          <w:b/>
          <w:bCs/>
          <w:color w:val="003399"/>
          <w:kern w:val="24"/>
          <w:sz w:val="24"/>
          <w:szCs w:val="24"/>
          <w:lang w:eastAsia="pl-PL"/>
        </w:rPr>
        <w:t>RoHS</w:t>
      </w:r>
      <w:r w:rsidRPr="00E0163F">
        <w:rPr>
          <w:rFonts w:eastAsiaTheme="minorEastAsia" w:cs="Arial"/>
          <w:b/>
          <w:bCs/>
          <w:color w:val="003399"/>
          <w:kern w:val="24"/>
          <w:sz w:val="24"/>
          <w:szCs w:val="24"/>
          <w:lang w:eastAsia="pl-PL"/>
        </w:rPr>
        <w:t xml:space="preserve"> 2</w:t>
      </w:r>
      <w:r w:rsidR="00FB21F7" w:rsidRPr="00FB21F7">
        <w:rPr>
          <w:rFonts w:eastAsiaTheme="minorEastAsia" w:cs="Arial"/>
          <w:color w:val="000000" w:themeColor="text1"/>
          <w:kern w:val="24"/>
          <w:sz w:val="24"/>
          <w:szCs w:val="24"/>
          <w:lang w:eastAsia="pl-PL"/>
        </w:rPr>
        <w:t>)</w:t>
      </w:r>
    </w:p>
    <w:p w:rsidR="003234BC" w:rsidRPr="00E0163F" w:rsidRDefault="003234BC" w:rsidP="003234BC">
      <w:pPr>
        <w:spacing w:before="240" w:after="0" w:line="216" w:lineRule="auto"/>
        <w:contextualSpacing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E0163F">
        <w:rPr>
          <w:rFonts w:eastAsia="Times New Roman" w:cs="Times New Roman"/>
          <w:sz w:val="24"/>
          <w:szCs w:val="24"/>
          <w:lang w:eastAsia="pl-PL"/>
        </w:rPr>
        <w:t xml:space="preserve">Rozporządzenie Ministra Gospodarki z dnia 8 maja 2013 r. w sprawie zasadniczych wymagań dotyczących ograniczenia stosowania niektórych niebezpiecznych substancji w sprzęcie elektrycznym i elektronicznym                        </w:t>
      </w:r>
    </w:p>
    <w:p w:rsidR="00FB21F7" w:rsidRPr="00FB21F7" w:rsidRDefault="003234BC" w:rsidP="003234BC">
      <w:pPr>
        <w:spacing w:before="240" w:after="0" w:line="216" w:lineRule="auto"/>
        <w:contextualSpacing/>
        <w:textAlignment w:val="baseline"/>
        <w:rPr>
          <w:rFonts w:eastAsia="Times New Roman" w:cs="Times New Roman"/>
          <w:i/>
          <w:sz w:val="24"/>
          <w:szCs w:val="24"/>
          <w:lang w:eastAsia="pl-PL"/>
        </w:rPr>
      </w:pPr>
      <w:r w:rsidRPr="00E0163F">
        <w:rPr>
          <w:rFonts w:eastAsia="Times New Roman" w:cs="Times New Roman"/>
          <w:i/>
          <w:sz w:val="24"/>
          <w:szCs w:val="24"/>
          <w:lang w:eastAsia="pl-PL"/>
        </w:rPr>
        <w:t>(Dz.U. 2013 poz. 547)</w:t>
      </w:r>
      <w:r w:rsidRPr="00E0163F">
        <w:rPr>
          <w:rFonts w:eastAsia="Times New Roman" w:cs="Times New Roman"/>
          <w:i/>
          <w:sz w:val="24"/>
          <w:szCs w:val="24"/>
          <w:lang w:eastAsia="pl-PL"/>
        </w:rPr>
        <w:br/>
      </w:r>
    </w:p>
    <w:p w:rsidR="00FB21F7" w:rsidRPr="00FB21F7" w:rsidRDefault="00FB21F7" w:rsidP="00FB21F7">
      <w:pPr>
        <w:numPr>
          <w:ilvl w:val="0"/>
          <w:numId w:val="4"/>
        </w:numPr>
        <w:spacing w:after="0" w:line="216" w:lineRule="auto"/>
        <w:contextualSpacing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FB21F7">
        <w:rPr>
          <w:rFonts w:eastAsiaTheme="minorEastAsia" w:cs="Times New Roman"/>
          <w:b/>
          <w:color w:val="000000" w:themeColor="text1"/>
          <w:kern w:val="24"/>
          <w:sz w:val="24"/>
          <w:szCs w:val="24"/>
          <w:lang w:eastAsia="pl-PL"/>
        </w:rPr>
        <w:t xml:space="preserve">Rozporządzenie Komisji </w:t>
      </w:r>
      <w:r w:rsidRPr="00FB21F7">
        <w:rPr>
          <w:rFonts w:eastAsiaTheme="minorEastAsia" w:cs="Times New Roman"/>
          <w:color w:val="000000" w:themeColor="text1"/>
          <w:kern w:val="24"/>
          <w:sz w:val="24"/>
          <w:szCs w:val="24"/>
          <w:lang w:eastAsia="pl-PL"/>
        </w:rPr>
        <w:t xml:space="preserve">(UE) </w:t>
      </w:r>
      <w:r w:rsidRPr="00FB21F7">
        <w:rPr>
          <w:rFonts w:eastAsiaTheme="minorEastAsia" w:cs="Times New Roman"/>
          <w:b/>
          <w:bCs/>
          <w:color w:val="000000" w:themeColor="text1"/>
          <w:kern w:val="24"/>
          <w:sz w:val="24"/>
          <w:szCs w:val="24"/>
          <w:lang w:eastAsia="pl-PL"/>
        </w:rPr>
        <w:t>2015/830</w:t>
      </w:r>
      <w:r w:rsidRPr="00FB21F7">
        <w:rPr>
          <w:rFonts w:eastAsiaTheme="minorEastAsia" w:cs="Times New Roman"/>
          <w:color w:val="000000" w:themeColor="text1"/>
          <w:kern w:val="24"/>
          <w:sz w:val="24"/>
          <w:szCs w:val="24"/>
          <w:lang w:eastAsia="pl-PL"/>
        </w:rPr>
        <w:t xml:space="preserve"> z dnia 28 maja 2015 r. zmieniające rozporządzenie (WE) nr </w:t>
      </w:r>
      <w:r w:rsidRPr="00FB21F7">
        <w:rPr>
          <w:rFonts w:eastAsiaTheme="minorEastAsia" w:cs="Times New Roman"/>
          <w:b/>
          <w:bCs/>
          <w:color w:val="000000" w:themeColor="text1"/>
          <w:kern w:val="24"/>
          <w:sz w:val="24"/>
          <w:szCs w:val="24"/>
          <w:lang w:eastAsia="pl-PL"/>
        </w:rPr>
        <w:t>1907/2006</w:t>
      </w:r>
      <w:r w:rsidRPr="00FB21F7">
        <w:rPr>
          <w:rFonts w:eastAsiaTheme="minorEastAsia" w:cs="Times New Roman"/>
          <w:color w:val="000000" w:themeColor="text1"/>
          <w:kern w:val="24"/>
          <w:sz w:val="24"/>
          <w:szCs w:val="24"/>
          <w:lang w:eastAsia="pl-PL"/>
        </w:rPr>
        <w:t xml:space="preserve"> Parlamentu Europejskiego i Rady w sprawie rejestracji, oceny, udzielania zezwoleń i stosowanych ograniczeń w zakresie chemikaliów </w:t>
      </w:r>
      <w:r w:rsidRPr="00FB21F7">
        <w:rPr>
          <w:rFonts w:eastAsiaTheme="minorEastAsia" w:cs="Arial"/>
          <w:color w:val="000000"/>
          <w:kern w:val="24"/>
          <w:sz w:val="24"/>
          <w:szCs w:val="24"/>
          <w:lang w:eastAsia="pl-PL"/>
        </w:rPr>
        <w:t>(</w:t>
      </w:r>
      <w:r w:rsidRPr="00FB21F7">
        <w:rPr>
          <w:rFonts w:eastAsiaTheme="minorEastAsia" w:cs="Arial"/>
          <w:b/>
          <w:bCs/>
          <w:color w:val="003399"/>
          <w:kern w:val="24"/>
          <w:sz w:val="24"/>
          <w:szCs w:val="24"/>
          <w:lang w:eastAsia="pl-PL"/>
        </w:rPr>
        <w:t>REACH</w:t>
      </w:r>
      <w:r w:rsidRPr="00FB21F7">
        <w:rPr>
          <w:rFonts w:eastAsiaTheme="minorEastAsia" w:cs="Arial"/>
          <w:color w:val="000000"/>
          <w:kern w:val="24"/>
          <w:sz w:val="24"/>
          <w:szCs w:val="24"/>
          <w:lang w:eastAsia="pl-PL"/>
        </w:rPr>
        <w:t>)</w:t>
      </w:r>
    </w:p>
    <w:p w:rsidR="001B124E" w:rsidRPr="00E0163F" w:rsidRDefault="001B124E" w:rsidP="001B124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1B124E" w:rsidRPr="00E0163F" w:rsidRDefault="001B124E" w:rsidP="001B124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E0163F">
        <w:rPr>
          <w:sz w:val="24"/>
          <w:szCs w:val="24"/>
        </w:rPr>
        <w:t xml:space="preserve">Dyrektywa </w:t>
      </w:r>
      <w:r w:rsidRPr="00E0163F">
        <w:rPr>
          <w:b/>
          <w:color w:val="44546A" w:themeColor="text2"/>
          <w:sz w:val="24"/>
          <w:szCs w:val="24"/>
        </w:rPr>
        <w:t>LVD</w:t>
      </w:r>
      <w:r w:rsidRPr="00E0163F">
        <w:rPr>
          <w:sz w:val="24"/>
          <w:szCs w:val="24"/>
        </w:rPr>
        <w:t xml:space="preserve"> nakłada obowiązek umieszczenia oznakowania CE na sprzęcie elektrycznym przewidywanym do stosowania w zakresie napięć od 50 V do 1000 V prądu przemiennego lub od 75 V do 1500 V prądu stałego (z wyłączeniem sprzętu i zjawisk ujętych w załączniku II – np. sprzęt elektryczny przeznaczony do użytku w atmosferach wybuchowych).</w:t>
      </w:r>
    </w:p>
    <w:p w:rsidR="001B124E" w:rsidRPr="00E0163F" w:rsidRDefault="001B124E" w:rsidP="001B124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1B124E" w:rsidRPr="00E0163F" w:rsidRDefault="001B124E" w:rsidP="001B124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E0163F">
        <w:rPr>
          <w:sz w:val="24"/>
          <w:szCs w:val="24"/>
        </w:rPr>
        <w:t xml:space="preserve">Dyrektywa obejmuje towary konsumpcyjne i inwestycyjne skonstruowane do działania </w:t>
      </w:r>
      <w:r w:rsidR="001C7AA7">
        <w:rPr>
          <w:sz w:val="24"/>
          <w:szCs w:val="24"/>
        </w:rPr>
        <w:t xml:space="preserve">                    </w:t>
      </w:r>
      <w:r w:rsidRPr="00E0163F">
        <w:rPr>
          <w:sz w:val="24"/>
          <w:szCs w:val="24"/>
        </w:rPr>
        <w:t xml:space="preserve">w ramach tych zakresów napięcia, włączając w to w szczególności urządzenia elektryczne, wyposażenie oświetleniowe łącznie ze statecznikami lamp fluoroscencyjnych, aparaturą łączeniową i sterującą, </w:t>
      </w:r>
      <w:r w:rsidRPr="00E0163F">
        <w:rPr>
          <w:b/>
          <w:sz w:val="24"/>
          <w:szCs w:val="24"/>
        </w:rPr>
        <w:t>przewodami</w:t>
      </w:r>
      <w:r w:rsidRPr="00E0163F">
        <w:rPr>
          <w:sz w:val="24"/>
          <w:szCs w:val="24"/>
        </w:rPr>
        <w:t xml:space="preserve"> </w:t>
      </w:r>
      <w:r w:rsidRPr="00E0163F">
        <w:rPr>
          <w:b/>
          <w:sz w:val="24"/>
          <w:szCs w:val="24"/>
        </w:rPr>
        <w:t>elektrycznymi</w:t>
      </w:r>
      <w:r w:rsidRPr="00E0163F">
        <w:rPr>
          <w:sz w:val="24"/>
          <w:szCs w:val="24"/>
        </w:rPr>
        <w:t xml:space="preserve">, </w:t>
      </w:r>
      <w:r w:rsidRPr="00E0163F">
        <w:rPr>
          <w:b/>
          <w:sz w:val="24"/>
          <w:szCs w:val="24"/>
        </w:rPr>
        <w:t>zestawy kabli</w:t>
      </w:r>
      <w:r w:rsidRPr="00E0163F">
        <w:rPr>
          <w:sz w:val="24"/>
          <w:szCs w:val="24"/>
        </w:rPr>
        <w:t xml:space="preserve"> i wyposażenia sprzęgającego urządzenia, wyposażenie instalacji elektrycznych, itp.</w:t>
      </w:r>
    </w:p>
    <w:p w:rsidR="001B124E" w:rsidRPr="00E0163F" w:rsidRDefault="001B124E" w:rsidP="001B124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815987" w:rsidRPr="00E0163F" w:rsidRDefault="00815987" w:rsidP="00815987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E0163F">
        <w:rPr>
          <w:sz w:val="24"/>
          <w:szCs w:val="24"/>
        </w:rPr>
        <w:t>Przyjmuje się, że wyroby spełniają cele bezpieczeństwa dyrektywy niskonapięciowej, jeśli zostały wytworzone zgodnie z określonymi w dyrektywie normami technicznymi, takimi jak normy europejskie (EN lub HD) oraz notyfikowanymi w UE normami krajowymi PN.</w:t>
      </w:r>
    </w:p>
    <w:p w:rsidR="001B124E" w:rsidRPr="00E0163F" w:rsidRDefault="00815987" w:rsidP="00815987">
      <w:pPr>
        <w:pStyle w:val="Akapitzlist"/>
        <w:spacing w:after="0" w:line="240" w:lineRule="auto"/>
        <w:ind w:left="0"/>
        <w:jc w:val="both"/>
        <w:rPr>
          <w:color w:val="44546A" w:themeColor="text2"/>
          <w:sz w:val="24"/>
          <w:szCs w:val="24"/>
        </w:rPr>
      </w:pPr>
      <w:r w:rsidRPr="00E0163F">
        <w:rPr>
          <w:sz w:val="24"/>
          <w:szCs w:val="24"/>
        </w:rPr>
        <w:t xml:space="preserve">Wykaz norm zharmonizowanych z dyrektywą LVD jest opublikowany w Dzienniku Urzędowym Unii Europejskiej  oraz na stronie Polskiego Komitetu Normalizacyjnego. </w:t>
      </w:r>
      <w:hyperlink r:id="rId5" w:history="1">
        <w:r w:rsidRPr="00E0163F">
          <w:rPr>
            <w:rStyle w:val="Hipercze"/>
            <w:sz w:val="24"/>
            <w:szCs w:val="24"/>
          </w:rPr>
          <w:t>https://pkn.pl/sites/default/files/sites/default/files/imce/files/dyrektywy/2014_35_UE.pdf</w:t>
        </w:r>
      </w:hyperlink>
    </w:p>
    <w:p w:rsidR="00815987" w:rsidRPr="00E0163F" w:rsidRDefault="00815987" w:rsidP="00815987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E0163F">
        <w:rPr>
          <w:sz w:val="24"/>
          <w:szCs w:val="24"/>
        </w:rPr>
        <w:lastRenderedPageBreak/>
        <w:t>Procedura, przy użyciu której producent zapewnia i deklaruje zgodność wyposażenia elektrycznego z postanowieniami Dyrektywy obejmuje trzy główne elementy:</w:t>
      </w:r>
    </w:p>
    <w:p w:rsidR="00815987" w:rsidRPr="00E0163F" w:rsidRDefault="00815987" w:rsidP="00815987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E0163F">
        <w:rPr>
          <w:sz w:val="24"/>
          <w:szCs w:val="24"/>
        </w:rPr>
        <w:t xml:space="preserve">• </w:t>
      </w:r>
      <w:r w:rsidRPr="00E0163F">
        <w:rPr>
          <w:b/>
          <w:sz w:val="24"/>
          <w:szCs w:val="24"/>
        </w:rPr>
        <w:t>Dokumentacja techniczna</w:t>
      </w:r>
    </w:p>
    <w:p w:rsidR="00815987" w:rsidRPr="00E0163F" w:rsidRDefault="00815987" w:rsidP="00815987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E0163F">
        <w:rPr>
          <w:sz w:val="24"/>
          <w:szCs w:val="24"/>
        </w:rPr>
        <w:t>Producent musi przechowywać dokumentację do dyspozycji organów władz krajowych dla potrzeb inspekcji przez okres co najmniej dziesięciu lat od daty ostatniej produkcji danego produktu.</w:t>
      </w:r>
    </w:p>
    <w:p w:rsidR="00815987" w:rsidRPr="00E0163F" w:rsidRDefault="00815987" w:rsidP="00815987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E0163F">
        <w:rPr>
          <w:sz w:val="24"/>
          <w:szCs w:val="24"/>
        </w:rPr>
        <w:t xml:space="preserve">• </w:t>
      </w:r>
      <w:r w:rsidRPr="00E0163F">
        <w:rPr>
          <w:b/>
          <w:sz w:val="24"/>
          <w:szCs w:val="24"/>
        </w:rPr>
        <w:t>Deklaracja zgodności</w:t>
      </w:r>
    </w:p>
    <w:p w:rsidR="00815987" w:rsidRPr="00E0163F" w:rsidRDefault="00815987" w:rsidP="00815987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E0163F">
        <w:rPr>
          <w:sz w:val="24"/>
          <w:szCs w:val="24"/>
        </w:rPr>
        <w:t xml:space="preserve">• </w:t>
      </w:r>
      <w:r w:rsidRPr="00E0163F">
        <w:rPr>
          <w:b/>
          <w:sz w:val="24"/>
          <w:szCs w:val="24"/>
        </w:rPr>
        <w:t>Oznaczenie CE</w:t>
      </w:r>
    </w:p>
    <w:p w:rsidR="00815987" w:rsidRPr="00E0163F" w:rsidRDefault="00815987" w:rsidP="00815987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E0163F">
        <w:rPr>
          <w:sz w:val="24"/>
          <w:szCs w:val="24"/>
        </w:rPr>
        <w:t>Oznaczenie CE musi być umieszczone na produkcie lub, gdy to nie jest wykonalne (z powodu warunków technicznych/ekonomicznych) na opakowaniu, instrukcji użytkowania lub gwarancji.</w:t>
      </w:r>
    </w:p>
    <w:p w:rsidR="001C7AA7" w:rsidRDefault="001C7AA7" w:rsidP="00815987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815987" w:rsidRPr="00E0163F" w:rsidRDefault="00815987" w:rsidP="00815987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E0163F">
        <w:rPr>
          <w:b/>
          <w:sz w:val="24"/>
          <w:szCs w:val="24"/>
        </w:rPr>
        <w:t>Deklaracja zgodności</w:t>
      </w:r>
      <w:r w:rsidRPr="00E0163F">
        <w:rPr>
          <w:sz w:val="24"/>
          <w:szCs w:val="24"/>
        </w:rPr>
        <w:t xml:space="preserve"> powinna zawierać:</w:t>
      </w:r>
    </w:p>
    <w:p w:rsidR="00815987" w:rsidRPr="00E0163F" w:rsidRDefault="00815987" w:rsidP="0005546A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E0163F">
        <w:rPr>
          <w:sz w:val="24"/>
          <w:szCs w:val="24"/>
        </w:rPr>
        <w:t>• Opis</w:t>
      </w:r>
      <w:r w:rsidR="0005546A" w:rsidRPr="00E0163F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produktu</w:t>
      </w:r>
      <w:r w:rsidR="0005546A" w:rsidRPr="00E0163F">
        <w:rPr>
          <w:sz w:val="24"/>
          <w:szCs w:val="24"/>
        </w:rPr>
        <w:t xml:space="preserve"> </w:t>
      </w:r>
    </w:p>
    <w:p w:rsidR="00815987" w:rsidRPr="00E0163F" w:rsidRDefault="00815987" w:rsidP="0005546A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E0163F">
        <w:rPr>
          <w:sz w:val="24"/>
          <w:szCs w:val="24"/>
        </w:rPr>
        <w:t>• Nazwa</w:t>
      </w:r>
      <w:r w:rsidR="0005546A" w:rsidRPr="00E0163F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i adres</w:t>
      </w:r>
      <w:r w:rsidR="0005546A" w:rsidRPr="00E0163F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producenta</w:t>
      </w:r>
      <w:r w:rsidR="0005546A" w:rsidRPr="00E0163F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oraz</w:t>
      </w:r>
      <w:r w:rsidR="0005546A" w:rsidRPr="00E0163F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w stosownym</w:t>
      </w:r>
      <w:r w:rsidR="0005546A" w:rsidRPr="00E0163F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przypadku</w:t>
      </w:r>
      <w:r w:rsidR="0005546A" w:rsidRPr="00E0163F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jego</w:t>
      </w:r>
      <w:r w:rsidR="0005546A" w:rsidRPr="00E0163F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upoważnionego</w:t>
      </w:r>
      <w:r w:rsidR="0005546A" w:rsidRPr="00E0163F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przedstawiciela</w:t>
      </w:r>
    </w:p>
    <w:p w:rsidR="00815987" w:rsidRPr="00E0163F" w:rsidRDefault="00815987" w:rsidP="0005546A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E0163F">
        <w:rPr>
          <w:sz w:val="24"/>
          <w:szCs w:val="24"/>
        </w:rPr>
        <w:t>• Uwaga</w:t>
      </w:r>
      <w:r w:rsidR="0005546A" w:rsidRPr="00E0163F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informująca</w:t>
      </w:r>
      <w:r w:rsidR="0005546A" w:rsidRPr="00E0163F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o tym,</w:t>
      </w:r>
      <w:r w:rsidR="0005546A" w:rsidRPr="00E0163F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że :</w:t>
      </w:r>
      <w:r w:rsidR="0005546A" w:rsidRPr="00E0163F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„Niniejsza</w:t>
      </w:r>
      <w:r w:rsidR="0005546A" w:rsidRPr="00E0163F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deklaracja</w:t>
      </w:r>
      <w:r w:rsidR="0005546A" w:rsidRPr="00E0163F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zgodności</w:t>
      </w:r>
      <w:r w:rsidR="0005546A" w:rsidRPr="00E0163F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wydana</w:t>
      </w:r>
      <w:r w:rsidR="0005546A" w:rsidRPr="00E0163F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zostaje</w:t>
      </w:r>
      <w:r w:rsidR="0005546A" w:rsidRPr="00E0163F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n</w:t>
      </w:r>
      <w:r w:rsidR="0005546A" w:rsidRPr="00E0163F">
        <w:rPr>
          <w:sz w:val="24"/>
          <w:szCs w:val="24"/>
        </w:rPr>
        <w:t>a wyłączną odpowiedzialność producenta”</w:t>
      </w:r>
    </w:p>
    <w:p w:rsidR="0005546A" w:rsidRPr="00E0163F" w:rsidRDefault="0005546A" w:rsidP="0005546A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E0163F">
        <w:rPr>
          <w:sz w:val="24"/>
          <w:szCs w:val="24"/>
        </w:rPr>
        <w:t>Przedmiot deklaracji -  identyfikacja produktu umożliwiająca odtworzenie jego historii</w:t>
      </w:r>
    </w:p>
    <w:p w:rsidR="0005546A" w:rsidRPr="00E0163F" w:rsidRDefault="0005546A" w:rsidP="0005546A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E0163F">
        <w:rPr>
          <w:sz w:val="24"/>
          <w:szCs w:val="24"/>
        </w:rPr>
        <w:t>• Informację, że wymieniony powyżej przedmiot deklaracji jest zgodny z  wymaganiami wymienionej Dyrektywy</w:t>
      </w:r>
    </w:p>
    <w:p w:rsidR="0005546A" w:rsidRPr="00E0163F" w:rsidRDefault="0005546A" w:rsidP="0005546A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E0163F">
        <w:rPr>
          <w:sz w:val="24"/>
          <w:szCs w:val="24"/>
        </w:rPr>
        <w:t>• Odniesienia do norm zharmonizowanych, które zastosowano, lub  do innych specyfikacji technicznych, w stosunku do których deklarowana</w:t>
      </w:r>
      <w:r w:rsidR="001C7AA7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jest   zgodność</w:t>
      </w:r>
    </w:p>
    <w:p w:rsidR="0005546A" w:rsidRPr="00E0163F" w:rsidRDefault="0005546A" w:rsidP="00E0163F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</w:rPr>
      </w:pPr>
      <w:r w:rsidRPr="00E0163F">
        <w:rPr>
          <w:sz w:val="24"/>
          <w:szCs w:val="24"/>
        </w:rPr>
        <w:t>Informacje</w:t>
      </w:r>
      <w:r w:rsidR="00E0163F" w:rsidRPr="00E0163F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dodatkowe</w:t>
      </w:r>
    </w:p>
    <w:p w:rsidR="0005546A" w:rsidRPr="00E0163F" w:rsidRDefault="0005546A" w:rsidP="00E0163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E0163F">
        <w:rPr>
          <w:sz w:val="24"/>
          <w:szCs w:val="24"/>
        </w:rPr>
        <w:t>• Podpis</w:t>
      </w:r>
      <w:r w:rsidR="00E0163F" w:rsidRPr="00E0163F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osoby</w:t>
      </w:r>
      <w:r w:rsidR="00E0163F" w:rsidRPr="00E0163F">
        <w:rPr>
          <w:sz w:val="24"/>
          <w:szCs w:val="24"/>
        </w:rPr>
        <w:t xml:space="preserve"> </w:t>
      </w:r>
      <w:r w:rsidRPr="00E0163F">
        <w:rPr>
          <w:sz w:val="24"/>
          <w:szCs w:val="24"/>
        </w:rPr>
        <w:t>upoważnionej</w:t>
      </w:r>
    </w:p>
    <w:p w:rsidR="001C7AA7" w:rsidRDefault="001C7AA7" w:rsidP="00E0163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0163F" w:rsidRPr="00E0163F" w:rsidRDefault="00E0163F" w:rsidP="001C7AA7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E0163F">
        <w:rPr>
          <w:sz w:val="24"/>
          <w:szCs w:val="24"/>
        </w:rPr>
        <w:t xml:space="preserve">Jeśli w odniesieniu do jednego wyrobu zastosowanie znajduje kilka dyrektyw (unijnych przepisów harmonizacyjnych), które nakładają obowiązek wydania deklaracji zgodności UE,   to wymagana jest  tylko </w:t>
      </w:r>
      <w:r w:rsidRPr="001C7AA7">
        <w:rPr>
          <w:b/>
          <w:sz w:val="24"/>
          <w:szCs w:val="24"/>
        </w:rPr>
        <w:t xml:space="preserve">jedna </w:t>
      </w:r>
      <w:r w:rsidR="001C7AA7" w:rsidRPr="001C7AA7">
        <w:rPr>
          <w:b/>
          <w:sz w:val="24"/>
          <w:szCs w:val="24"/>
        </w:rPr>
        <w:t>D</w:t>
      </w:r>
      <w:r w:rsidRPr="001C7AA7">
        <w:rPr>
          <w:b/>
          <w:sz w:val="24"/>
          <w:szCs w:val="24"/>
        </w:rPr>
        <w:t>eklaracja zgodności</w:t>
      </w:r>
      <w:r w:rsidRPr="00E0163F">
        <w:rPr>
          <w:sz w:val="24"/>
          <w:szCs w:val="24"/>
        </w:rPr>
        <w:t>.</w:t>
      </w:r>
    </w:p>
    <w:p w:rsidR="00E0163F" w:rsidRPr="00E0163F" w:rsidRDefault="00E0163F" w:rsidP="001C7AA7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E0163F">
        <w:rPr>
          <w:sz w:val="24"/>
          <w:szCs w:val="24"/>
        </w:rPr>
        <w:t xml:space="preserve">Deklaracja zgodności powinna zawierać informacje odnośnie jednostki notyfikowanej, która nadzoruje </w:t>
      </w:r>
      <w:r w:rsidRPr="00C85F85">
        <w:rPr>
          <w:sz w:val="24"/>
          <w:szCs w:val="24"/>
          <w:u w:val="single"/>
        </w:rPr>
        <w:t>system jakości produkcji</w:t>
      </w:r>
      <w:r w:rsidRPr="00E0163F">
        <w:rPr>
          <w:sz w:val="24"/>
          <w:szCs w:val="24"/>
        </w:rPr>
        <w:t xml:space="preserve"> – jeżeli ma zastosowanie.</w:t>
      </w:r>
    </w:p>
    <w:p w:rsidR="00F0053F" w:rsidRPr="00E0163F" w:rsidRDefault="001D012C" w:rsidP="001C7AA7">
      <w:pPr>
        <w:pStyle w:val="Akapitzlist"/>
        <w:ind w:left="0"/>
        <w:jc w:val="both"/>
        <w:rPr>
          <w:sz w:val="24"/>
          <w:szCs w:val="24"/>
        </w:rPr>
      </w:pPr>
      <w:r w:rsidRPr="00E0163F">
        <w:rPr>
          <w:sz w:val="24"/>
          <w:szCs w:val="24"/>
        </w:rPr>
        <w:t>Okazanie Deklaracji zgodności</w:t>
      </w:r>
      <w:r w:rsidR="00E0163F" w:rsidRPr="00E0163F">
        <w:rPr>
          <w:sz w:val="24"/>
          <w:szCs w:val="24"/>
        </w:rPr>
        <w:t xml:space="preserve"> na życzenie klienta</w:t>
      </w:r>
      <w:r w:rsidRPr="00E0163F">
        <w:rPr>
          <w:sz w:val="24"/>
          <w:szCs w:val="24"/>
        </w:rPr>
        <w:t xml:space="preserve"> jest podstawowym wymogiem</w:t>
      </w:r>
      <w:r w:rsidR="00E0163F" w:rsidRPr="00E0163F">
        <w:rPr>
          <w:sz w:val="24"/>
          <w:szCs w:val="24"/>
        </w:rPr>
        <w:t xml:space="preserve"> </w:t>
      </w:r>
      <w:r w:rsidR="001C7AA7">
        <w:rPr>
          <w:sz w:val="24"/>
          <w:szCs w:val="24"/>
        </w:rPr>
        <w:t>p</w:t>
      </w:r>
      <w:r w:rsidR="00E0163F" w:rsidRPr="00E0163F">
        <w:rPr>
          <w:sz w:val="24"/>
          <w:szCs w:val="24"/>
        </w:rPr>
        <w:t>roducenta, może być również</w:t>
      </w:r>
      <w:r w:rsidR="00846F8D" w:rsidRPr="00E0163F">
        <w:rPr>
          <w:sz w:val="24"/>
          <w:szCs w:val="24"/>
        </w:rPr>
        <w:t xml:space="preserve"> publikowan</w:t>
      </w:r>
      <w:r w:rsidR="00E0163F" w:rsidRPr="00E0163F">
        <w:rPr>
          <w:sz w:val="24"/>
          <w:szCs w:val="24"/>
        </w:rPr>
        <w:t>a</w:t>
      </w:r>
      <w:r w:rsidR="00846F8D" w:rsidRPr="00E0163F">
        <w:rPr>
          <w:sz w:val="24"/>
          <w:szCs w:val="24"/>
        </w:rPr>
        <w:t xml:space="preserve"> stronie internetowej producenta.</w:t>
      </w:r>
    </w:p>
    <w:p w:rsidR="00527ECA" w:rsidRDefault="00527ECA" w:rsidP="001C7AA7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Umieszczenie znaku CE informuje odbiorcę, że  producent przeanalizował i dostosował</w:t>
      </w:r>
      <w:r w:rsidR="001C7AA7">
        <w:rPr>
          <w:sz w:val="24"/>
          <w:szCs w:val="24"/>
        </w:rPr>
        <w:t xml:space="preserve"> </w:t>
      </w:r>
      <w:r>
        <w:rPr>
          <w:sz w:val="24"/>
          <w:szCs w:val="24"/>
        </w:rPr>
        <w:t>produkt do wszystkich Dyrektyw obowiązujących aktualnie w Unii Europejskiej na jego produkt.</w:t>
      </w:r>
    </w:p>
    <w:p w:rsidR="00527ECA" w:rsidRDefault="001C7AA7" w:rsidP="001C7AA7">
      <w:pPr>
        <w:pStyle w:val="Akapitzlist"/>
        <w:ind w:left="0"/>
        <w:jc w:val="both"/>
        <w:rPr>
          <w:sz w:val="24"/>
          <w:szCs w:val="24"/>
        </w:rPr>
      </w:pPr>
      <w:r w:rsidRPr="001C7AA7">
        <w:rPr>
          <w:sz w:val="24"/>
          <w:szCs w:val="24"/>
        </w:rPr>
        <w:t>Dla poprawy swej konkurencyjności producent może  zabiegać o uzyskanie różnych typów certyfikatów  np. w BBJ SEP – są  to jednak dokumenty nie wymagalne obligatoryjnie.</w:t>
      </w:r>
    </w:p>
    <w:p w:rsidR="006F1A87" w:rsidRDefault="001C7AA7" w:rsidP="001C7AA7">
      <w:pPr>
        <w:jc w:val="both"/>
        <w:rPr>
          <w:sz w:val="24"/>
          <w:szCs w:val="24"/>
        </w:rPr>
      </w:pPr>
      <w:r w:rsidRPr="001C7AA7">
        <w:rPr>
          <w:sz w:val="24"/>
          <w:szCs w:val="24"/>
        </w:rPr>
        <w:t xml:space="preserve">Substancje niebezpieczne w sprzęcie w Unii reguluje dyrektywa </w:t>
      </w:r>
      <w:r w:rsidRPr="001C7AA7">
        <w:rPr>
          <w:b/>
          <w:sz w:val="24"/>
          <w:szCs w:val="24"/>
        </w:rPr>
        <w:t>RoHS</w:t>
      </w:r>
      <w:r w:rsidRPr="001C7AA7">
        <w:rPr>
          <w:sz w:val="24"/>
          <w:szCs w:val="24"/>
        </w:rPr>
        <w:t xml:space="preserve"> i pośrednio rozporządzenie </w:t>
      </w:r>
      <w:r w:rsidRPr="001C7AA7">
        <w:rPr>
          <w:b/>
          <w:sz w:val="24"/>
          <w:szCs w:val="24"/>
        </w:rPr>
        <w:t>REACH</w:t>
      </w:r>
    </w:p>
    <w:p w:rsidR="001C7AA7" w:rsidRDefault="001C7AA7" w:rsidP="001C7AA7">
      <w:pPr>
        <w:jc w:val="both"/>
        <w:rPr>
          <w:sz w:val="24"/>
          <w:szCs w:val="24"/>
        </w:rPr>
      </w:pPr>
      <w:r w:rsidRPr="001C7AA7">
        <w:rPr>
          <w:sz w:val="24"/>
          <w:szCs w:val="24"/>
        </w:rPr>
        <w:t xml:space="preserve">Dyrektywa </w:t>
      </w:r>
      <w:r w:rsidRPr="001C7AA7">
        <w:rPr>
          <w:b/>
          <w:sz w:val="24"/>
          <w:szCs w:val="24"/>
        </w:rPr>
        <w:t>RoHS</w:t>
      </w:r>
      <w:r w:rsidRPr="001C7AA7">
        <w:rPr>
          <w:sz w:val="24"/>
          <w:szCs w:val="24"/>
        </w:rPr>
        <w:t xml:space="preserve"> określa zasady ograniczania stosowania niebezpiecznych substancji w sprzęcie elektrycznym i elektronicznym (EEE) uwzględniając ich wpływ na środowisko i życie ludzkie w etapie użytkowania oraz odzysku odpadu</w:t>
      </w:r>
    </w:p>
    <w:p w:rsidR="001C7AA7" w:rsidRDefault="004008D4" w:rsidP="001C7AA7">
      <w:pPr>
        <w:jc w:val="both"/>
        <w:rPr>
          <w:sz w:val="24"/>
          <w:szCs w:val="24"/>
        </w:rPr>
      </w:pPr>
      <w:r w:rsidRPr="004008D4">
        <w:rPr>
          <w:sz w:val="24"/>
          <w:szCs w:val="24"/>
        </w:rPr>
        <w:lastRenderedPageBreak/>
        <w:t xml:space="preserve">Dyrektywa </w:t>
      </w:r>
      <w:r w:rsidRPr="004008D4">
        <w:rPr>
          <w:b/>
          <w:color w:val="44546A" w:themeColor="text2"/>
          <w:sz w:val="24"/>
          <w:szCs w:val="24"/>
        </w:rPr>
        <w:t>RoHS 2</w:t>
      </w:r>
      <w:r>
        <w:rPr>
          <w:sz w:val="24"/>
          <w:szCs w:val="24"/>
        </w:rPr>
        <w:t xml:space="preserve"> wprowadza n</w:t>
      </w:r>
      <w:r w:rsidR="001C7AA7" w:rsidRPr="001C7AA7">
        <w:rPr>
          <w:sz w:val="24"/>
          <w:szCs w:val="24"/>
        </w:rPr>
        <w:t>owe wymagania dla producentów, autoryzowanych przedstawicieli, import</w:t>
      </w:r>
      <w:r>
        <w:rPr>
          <w:sz w:val="24"/>
          <w:szCs w:val="24"/>
        </w:rPr>
        <w:t>erów i dystrybutorów w zakresie</w:t>
      </w:r>
      <w:r w:rsidR="001C7AA7" w:rsidRPr="001C7AA7">
        <w:rPr>
          <w:sz w:val="24"/>
          <w:szCs w:val="24"/>
        </w:rPr>
        <w:t xml:space="preserve"> dokumentacji technicznej</w:t>
      </w:r>
      <w:r>
        <w:rPr>
          <w:sz w:val="24"/>
          <w:szCs w:val="24"/>
        </w:rPr>
        <w:t xml:space="preserve">, </w:t>
      </w:r>
      <w:r w:rsidR="001C7AA7" w:rsidRPr="001C7AA7">
        <w:rPr>
          <w:sz w:val="24"/>
          <w:szCs w:val="24"/>
        </w:rPr>
        <w:t xml:space="preserve">    wewnętrznej kontroli produkcji</w:t>
      </w:r>
      <w:r>
        <w:rPr>
          <w:sz w:val="24"/>
          <w:szCs w:val="24"/>
        </w:rPr>
        <w:t xml:space="preserve">, </w:t>
      </w:r>
      <w:r w:rsidR="001C7AA7" w:rsidRPr="001C7AA7">
        <w:rPr>
          <w:sz w:val="24"/>
          <w:szCs w:val="24"/>
        </w:rPr>
        <w:t>deklaracji zgodności UE</w:t>
      </w:r>
      <w:r>
        <w:rPr>
          <w:sz w:val="24"/>
          <w:szCs w:val="24"/>
        </w:rPr>
        <w:t xml:space="preserve">, </w:t>
      </w:r>
      <w:r w:rsidR="001C7AA7" w:rsidRPr="001C7AA7">
        <w:rPr>
          <w:sz w:val="24"/>
          <w:szCs w:val="24"/>
        </w:rPr>
        <w:t>znaku CE.</w:t>
      </w:r>
    </w:p>
    <w:p w:rsidR="004008D4" w:rsidRPr="004008D4" w:rsidRDefault="004008D4" w:rsidP="004008D4">
      <w:pPr>
        <w:jc w:val="both"/>
        <w:rPr>
          <w:sz w:val="24"/>
          <w:szCs w:val="24"/>
        </w:rPr>
      </w:pPr>
      <w:r w:rsidRPr="004008D4">
        <w:rPr>
          <w:sz w:val="24"/>
          <w:szCs w:val="24"/>
        </w:rPr>
        <w:t>W 2019r włączony do RoHS zostanie wszelki sprzęt spełniający definicję sprzętu elektrycznego i elektronicznego</w:t>
      </w:r>
      <w:r>
        <w:rPr>
          <w:sz w:val="24"/>
          <w:szCs w:val="24"/>
        </w:rPr>
        <w:t xml:space="preserve"> (czyli też kable i przewody)</w:t>
      </w:r>
      <w:r w:rsidRPr="004008D4">
        <w:rPr>
          <w:sz w:val="24"/>
          <w:szCs w:val="24"/>
        </w:rPr>
        <w:t>.</w:t>
      </w:r>
    </w:p>
    <w:p w:rsidR="005F6ED4" w:rsidRDefault="00544943" w:rsidP="00F62DEC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727E60">
        <w:rPr>
          <w:sz w:val="24"/>
          <w:szCs w:val="24"/>
        </w:rPr>
        <w:t xml:space="preserve">rocedury badania zgodności z RoHS </w:t>
      </w:r>
      <w:r>
        <w:rPr>
          <w:sz w:val="24"/>
          <w:szCs w:val="24"/>
        </w:rPr>
        <w:t xml:space="preserve">normuje  </w:t>
      </w:r>
      <w:r w:rsidR="00727E60">
        <w:rPr>
          <w:sz w:val="24"/>
          <w:szCs w:val="24"/>
        </w:rPr>
        <w:t xml:space="preserve">PN-EN 50581:2013-03 </w:t>
      </w:r>
      <w:r w:rsidR="004008D4">
        <w:rPr>
          <w:sz w:val="24"/>
          <w:szCs w:val="24"/>
        </w:rPr>
        <w:t xml:space="preserve">                                 </w:t>
      </w:r>
      <w:r w:rsidR="00727E60">
        <w:rPr>
          <w:sz w:val="24"/>
          <w:szCs w:val="24"/>
        </w:rPr>
        <w:t>Dokumentacja techniczna oceny wyrobów elektrycznych i elektronicznych z uwzględnieniem ograniczenia stosowania substancji niebezpiecznych.</w:t>
      </w:r>
    </w:p>
    <w:p w:rsidR="00650B18" w:rsidRDefault="00650B18" w:rsidP="00F62DEC">
      <w:pPr>
        <w:rPr>
          <w:sz w:val="24"/>
          <w:szCs w:val="24"/>
        </w:rPr>
      </w:pPr>
      <w:r w:rsidRPr="00650B18">
        <w:rPr>
          <w:sz w:val="24"/>
          <w:szCs w:val="24"/>
          <w:u w:val="single"/>
        </w:rPr>
        <w:t>Uwaga</w:t>
      </w:r>
    </w:p>
    <w:p w:rsidR="00650B18" w:rsidRDefault="00650B18" w:rsidP="00F62DEC">
      <w:pPr>
        <w:rPr>
          <w:sz w:val="24"/>
          <w:szCs w:val="24"/>
        </w:rPr>
      </w:pPr>
      <w:r>
        <w:rPr>
          <w:sz w:val="24"/>
          <w:szCs w:val="24"/>
        </w:rPr>
        <w:t xml:space="preserve">Dyrektywa </w:t>
      </w:r>
      <w:proofErr w:type="spellStart"/>
      <w:r>
        <w:rPr>
          <w:sz w:val="24"/>
          <w:szCs w:val="24"/>
        </w:rPr>
        <w:t>RoHs</w:t>
      </w:r>
      <w:proofErr w:type="spellEnd"/>
      <w:r>
        <w:rPr>
          <w:sz w:val="24"/>
          <w:szCs w:val="24"/>
        </w:rPr>
        <w:t xml:space="preserve"> oraz Rozporządzenie REACH dotyczy wszystkich grup kabli, również kabli energetycznych średnich i wysokich napięć oraz Kabli światłowodowych.</w:t>
      </w:r>
    </w:p>
    <w:p w:rsidR="005047B5" w:rsidRDefault="00F0053F" w:rsidP="004008D4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6F1A87">
        <w:rPr>
          <w:b/>
          <w:sz w:val="32"/>
          <w:szCs w:val="32"/>
        </w:rPr>
        <w:t xml:space="preserve">Kable i przewody elektryczne jako </w:t>
      </w:r>
      <w:r w:rsidR="00FC4C62" w:rsidRPr="006F1A87">
        <w:rPr>
          <w:b/>
          <w:sz w:val="32"/>
          <w:szCs w:val="32"/>
        </w:rPr>
        <w:t xml:space="preserve">produkt </w:t>
      </w:r>
      <w:r w:rsidRPr="006F1A87">
        <w:rPr>
          <w:b/>
          <w:sz w:val="32"/>
          <w:szCs w:val="32"/>
        </w:rPr>
        <w:t xml:space="preserve"> budowlany.</w:t>
      </w:r>
    </w:p>
    <w:p w:rsidR="006F1A87" w:rsidRPr="006F1A87" w:rsidRDefault="004008D4" w:rsidP="004008D4">
      <w:pPr>
        <w:pStyle w:val="Akapitzlist"/>
        <w:spacing w:before="240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="006F1A87" w:rsidRPr="006F1A87">
        <w:rPr>
          <w:b/>
          <w:sz w:val="32"/>
          <w:szCs w:val="32"/>
        </w:rPr>
        <w:t xml:space="preserve">Dotyczy również </w:t>
      </w:r>
      <w:r>
        <w:rPr>
          <w:b/>
          <w:sz w:val="32"/>
          <w:szCs w:val="32"/>
        </w:rPr>
        <w:t>kabli</w:t>
      </w:r>
      <w:r w:rsidR="006F1A87" w:rsidRPr="006F1A87">
        <w:rPr>
          <w:b/>
          <w:sz w:val="32"/>
          <w:szCs w:val="32"/>
        </w:rPr>
        <w:t xml:space="preserve"> światłowodowych.</w:t>
      </w:r>
    </w:p>
    <w:p w:rsidR="006F1A87" w:rsidRDefault="006F1A87" w:rsidP="00F62DEC">
      <w:pPr>
        <w:pStyle w:val="Akapitzlist"/>
        <w:ind w:left="1440"/>
      </w:pPr>
    </w:p>
    <w:p w:rsidR="00544943" w:rsidRDefault="005047B5" w:rsidP="004008D4">
      <w:pPr>
        <w:pStyle w:val="Akapitzlist"/>
        <w:ind w:left="0"/>
        <w:rPr>
          <w:sz w:val="24"/>
          <w:szCs w:val="24"/>
        </w:rPr>
      </w:pPr>
      <w:r w:rsidRPr="005047B5">
        <w:t xml:space="preserve"> </w:t>
      </w:r>
      <w:r w:rsidR="00D620E4" w:rsidRPr="006F1A87">
        <w:rPr>
          <w:sz w:val="24"/>
          <w:szCs w:val="24"/>
        </w:rPr>
        <w:t xml:space="preserve">ROZPORZĄDZENIE PARLAMENTU EUROPEJSKIEGO I RADY (UE) NR 305/2011 z dnia 9 marca 2011 r. ustanawiające  zharmonizowane warunki wprowadzania do obrotu wyrobów budowlanych </w:t>
      </w:r>
      <w:r w:rsidR="00F0053F" w:rsidRPr="004008D4">
        <w:rPr>
          <w:b/>
          <w:color w:val="44546A" w:themeColor="text2"/>
          <w:sz w:val="24"/>
          <w:szCs w:val="24"/>
        </w:rPr>
        <w:t>CPR</w:t>
      </w:r>
      <w:r w:rsidR="00544943" w:rsidRPr="006F1A87">
        <w:rPr>
          <w:sz w:val="24"/>
          <w:szCs w:val="24"/>
        </w:rPr>
        <w:t>.</w:t>
      </w:r>
    </w:p>
    <w:p w:rsidR="004008D4" w:rsidRPr="006F1A87" w:rsidRDefault="004008D4" w:rsidP="004008D4">
      <w:pPr>
        <w:pStyle w:val="Akapitzlist"/>
        <w:ind w:left="0"/>
        <w:rPr>
          <w:sz w:val="24"/>
          <w:szCs w:val="24"/>
        </w:rPr>
      </w:pPr>
      <w:r w:rsidRPr="004008D4">
        <w:rPr>
          <w:sz w:val="24"/>
          <w:szCs w:val="24"/>
        </w:rPr>
        <w:t>Obowiązuje ostatecznie dla kabli od 1 lipca 2017 roku</w:t>
      </w:r>
      <w:r>
        <w:rPr>
          <w:sz w:val="24"/>
          <w:szCs w:val="24"/>
        </w:rPr>
        <w:t>.</w:t>
      </w:r>
    </w:p>
    <w:p w:rsidR="0079458E" w:rsidRPr="004008D4" w:rsidRDefault="00544943" w:rsidP="00F62DEC">
      <w:pPr>
        <w:rPr>
          <w:b/>
          <w:i/>
          <w:sz w:val="24"/>
          <w:szCs w:val="24"/>
        </w:rPr>
      </w:pPr>
      <w:r w:rsidRPr="004008D4">
        <w:rPr>
          <w:b/>
          <w:i/>
          <w:sz w:val="24"/>
          <w:szCs w:val="24"/>
        </w:rPr>
        <w:t>Wyjaśnienie zakresu obowiązywania</w:t>
      </w:r>
      <w:r w:rsidR="006F1A87" w:rsidRPr="004008D4">
        <w:rPr>
          <w:b/>
          <w:i/>
          <w:sz w:val="24"/>
          <w:szCs w:val="24"/>
        </w:rPr>
        <w:t xml:space="preserve"> Rozporządzenia CPR</w:t>
      </w:r>
      <w:r w:rsidRPr="004008D4">
        <w:rPr>
          <w:b/>
          <w:i/>
          <w:sz w:val="24"/>
          <w:szCs w:val="24"/>
        </w:rPr>
        <w:t>:</w:t>
      </w:r>
      <w:r w:rsidR="0079458E" w:rsidRPr="004008D4">
        <w:rPr>
          <w:b/>
          <w:i/>
          <w:sz w:val="24"/>
          <w:szCs w:val="24"/>
        </w:rPr>
        <w:t xml:space="preserve"> </w:t>
      </w:r>
    </w:p>
    <w:p w:rsidR="00FE4504" w:rsidRPr="004008D4" w:rsidRDefault="00FE4504" w:rsidP="00F62DEC">
      <w:pPr>
        <w:spacing w:after="0" w:line="240" w:lineRule="auto"/>
        <w:rPr>
          <w:rFonts w:cs="Arial"/>
          <w:i/>
          <w:sz w:val="24"/>
          <w:szCs w:val="24"/>
        </w:rPr>
      </w:pPr>
      <w:r w:rsidRPr="004008D4">
        <w:rPr>
          <w:rFonts w:cs="Arial"/>
          <w:i/>
          <w:sz w:val="24"/>
          <w:szCs w:val="24"/>
        </w:rPr>
        <w:t>ROZDZIAŁ I</w:t>
      </w:r>
    </w:p>
    <w:p w:rsidR="00FE4504" w:rsidRPr="004008D4" w:rsidRDefault="00FE4504" w:rsidP="00F62DEC">
      <w:pPr>
        <w:spacing w:after="0" w:line="240" w:lineRule="auto"/>
        <w:rPr>
          <w:rFonts w:cs="Arial"/>
          <w:i/>
          <w:sz w:val="24"/>
          <w:szCs w:val="24"/>
        </w:rPr>
      </w:pPr>
      <w:r w:rsidRPr="004008D4">
        <w:rPr>
          <w:rFonts w:cs="Arial"/>
          <w:i/>
          <w:sz w:val="24"/>
          <w:szCs w:val="24"/>
        </w:rPr>
        <w:t>Artykuł 1</w:t>
      </w:r>
    </w:p>
    <w:p w:rsidR="00FE4504" w:rsidRPr="004008D4" w:rsidRDefault="00FE4504" w:rsidP="004008D4">
      <w:pPr>
        <w:spacing w:after="0" w:line="240" w:lineRule="auto"/>
        <w:jc w:val="both"/>
        <w:rPr>
          <w:rFonts w:cs="Arial"/>
          <w:i/>
          <w:sz w:val="24"/>
          <w:szCs w:val="24"/>
        </w:rPr>
      </w:pPr>
      <w:r w:rsidRPr="004008D4">
        <w:rPr>
          <w:rFonts w:cs="Arial"/>
          <w:i/>
          <w:sz w:val="24"/>
          <w:szCs w:val="24"/>
        </w:rPr>
        <w:t>Niniejsze rozporządzenie określa warunki wprowadzania do obrotu lub udostępniania na</w:t>
      </w:r>
      <w:r w:rsidR="004008D4">
        <w:rPr>
          <w:rFonts w:cs="Arial"/>
          <w:i/>
          <w:sz w:val="24"/>
          <w:szCs w:val="24"/>
        </w:rPr>
        <w:t xml:space="preserve"> </w:t>
      </w:r>
      <w:r w:rsidRPr="004008D4">
        <w:rPr>
          <w:rFonts w:cs="Arial"/>
          <w:i/>
          <w:sz w:val="24"/>
          <w:szCs w:val="24"/>
        </w:rPr>
        <w:t xml:space="preserve">rynku </w:t>
      </w:r>
      <w:r w:rsidRPr="004008D4">
        <w:rPr>
          <w:rFonts w:cs="Arial"/>
          <w:b/>
          <w:i/>
          <w:sz w:val="24"/>
          <w:szCs w:val="24"/>
        </w:rPr>
        <w:t>wyrobów budowlanych</w:t>
      </w:r>
      <w:r w:rsidRPr="004008D4">
        <w:rPr>
          <w:rFonts w:cs="Arial"/>
          <w:i/>
          <w:sz w:val="24"/>
          <w:szCs w:val="24"/>
        </w:rPr>
        <w:t>, poprzez ustanowienie zharmonizowanych zasad wyrażania właściwości użytkowych wyrobów budowlanych w odniesieniu do ich zasadniczych charakterystyk oraz zharmonizowanych zasad stosowania oznakowania CE na tych wyrobach.</w:t>
      </w:r>
    </w:p>
    <w:p w:rsidR="00FE4504" w:rsidRPr="004008D4" w:rsidRDefault="00FE4504" w:rsidP="004008D4">
      <w:pPr>
        <w:spacing w:after="0" w:line="240" w:lineRule="auto"/>
        <w:jc w:val="both"/>
        <w:rPr>
          <w:rFonts w:cs="Arial"/>
          <w:i/>
          <w:sz w:val="24"/>
          <w:szCs w:val="24"/>
        </w:rPr>
      </w:pPr>
      <w:r w:rsidRPr="004008D4">
        <w:rPr>
          <w:rFonts w:cs="Arial"/>
          <w:i/>
          <w:sz w:val="24"/>
          <w:szCs w:val="24"/>
        </w:rPr>
        <w:t>Artykuł 2</w:t>
      </w:r>
    </w:p>
    <w:p w:rsidR="00FE4504" w:rsidRPr="004008D4" w:rsidRDefault="00FE4504" w:rsidP="004008D4">
      <w:pPr>
        <w:spacing w:after="0" w:line="240" w:lineRule="auto"/>
        <w:jc w:val="both"/>
        <w:rPr>
          <w:rFonts w:cs="Arial"/>
          <w:i/>
          <w:sz w:val="24"/>
          <w:szCs w:val="24"/>
        </w:rPr>
      </w:pPr>
      <w:r w:rsidRPr="004008D4">
        <w:rPr>
          <w:rFonts w:cs="Arial"/>
          <w:i/>
          <w:sz w:val="24"/>
          <w:szCs w:val="24"/>
        </w:rPr>
        <w:t>Na użytek niniejszego rozporządzenia stosuje się następujące definicje:</w:t>
      </w:r>
    </w:p>
    <w:p w:rsidR="00FE4504" w:rsidRPr="004008D4" w:rsidRDefault="00FE4504" w:rsidP="004008D4">
      <w:pPr>
        <w:spacing w:after="0" w:line="240" w:lineRule="auto"/>
        <w:jc w:val="both"/>
        <w:rPr>
          <w:rFonts w:cs="Arial"/>
          <w:i/>
          <w:sz w:val="24"/>
          <w:szCs w:val="24"/>
        </w:rPr>
      </w:pPr>
      <w:r w:rsidRPr="004008D4">
        <w:rPr>
          <w:rFonts w:cs="Arial"/>
          <w:i/>
          <w:sz w:val="24"/>
          <w:szCs w:val="24"/>
        </w:rPr>
        <w:t xml:space="preserve">1) </w:t>
      </w:r>
      <w:r w:rsidRPr="004008D4">
        <w:rPr>
          <w:rFonts w:cs="Arial"/>
          <w:b/>
          <w:i/>
          <w:sz w:val="24"/>
          <w:szCs w:val="24"/>
        </w:rPr>
        <w:t>„wyrób budowlany”</w:t>
      </w:r>
      <w:r w:rsidRPr="004008D4">
        <w:rPr>
          <w:rFonts w:cs="Arial"/>
          <w:i/>
          <w:sz w:val="24"/>
          <w:szCs w:val="24"/>
        </w:rPr>
        <w:t xml:space="preserve"> oznacza każdy wyrób lub zestaw wyprodukowany i wprowadzony do obrotu w celu trwałego wbudowania w obiektach budowlanych lub ich częściach, którego właściwości wpływają na właściwości użytkowe obiektów budowlanych w stosunku do podstawowych wymagań dotyczących obiektów budowlanych;</w:t>
      </w:r>
    </w:p>
    <w:p w:rsidR="00FE4504" w:rsidRPr="004008D4" w:rsidRDefault="00FE4504" w:rsidP="004008D4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:rsidR="00FE4504" w:rsidRPr="004008D4" w:rsidRDefault="00FE4504" w:rsidP="004008D4">
      <w:pPr>
        <w:spacing w:after="0" w:line="240" w:lineRule="auto"/>
        <w:jc w:val="both"/>
        <w:rPr>
          <w:rFonts w:cs="Arial"/>
          <w:i/>
          <w:sz w:val="24"/>
          <w:szCs w:val="24"/>
        </w:rPr>
      </w:pPr>
      <w:r w:rsidRPr="004008D4">
        <w:rPr>
          <w:rFonts w:cs="Arial"/>
          <w:i/>
          <w:sz w:val="24"/>
          <w:szCs w:val="24"/>
        </w:rPr>
        <w:t xml:space="preserve">3) </w:t>
      </w:r>
      <w:r w:rsidRPr="004008D4">
        <w:rPr>
          <w:rFonts w:cs="Arial"/>
          <w:b/>
          <w:i/>
          <w:sz w:val="24"/>
          <w:szCs w:val="24"/>
        </w:rPr>
        <w:t xml:space="preserve">„obiekty budowlane” </w:t>
      </w:r>
      <w:r w:rsidRPr="004008D4">
        <w:rPr>
          <w:rFonts w:cs="Arial"/>
          <w:i/>
          <w:sz w:val="24"/>
          <w:szCs w:val="24"/>
        </w:rPr>
        <w:t>oznaczają budynki i budowle</w:t>
      </w:r>
      <w:r w:rsidR="00A6577E" w:rsidRPr="004008D4">
        <w:rPr>
          <w:rFonts w:cs="Arial"/>
          <w:i/>
          <w:sz w:val="24"/>
          <w:szCs w:val="24"/>
        </w:rPr>
        <w:t>(…)</w:t>
      </w:r>
    </w:p>
    <w:p w:rsidR="00FE4504" w:rsidRPr="004008D4" w:rsidRDefault="00FE4504" w:rsidP="004008D4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:rsidR="00FE4504" w:rsidRPr="004008D4" w:rsidRDefault="00FE4504" w:rsidP="004008D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24"/>
          <w:szCs w:val="24"/>
          <w:lang w:eastAsia="pl-PL"/>
        </w:rPr>
      </w:pPr>
      <w:r w:rsidRPr="004008D4">
        <w:rPr>
          <w:rFonts w:cs="Arial"/>
          <w:b/>
          <w:i/>
          <w:sz w:val="24"/>
          <w:szCs w:val="24"/>
          <w:lang w:eastAsia="pl-PL"/>
        </w:rPr>
        <w:t>Polska Klasyfikacja Obiektów Budowlanych (PKOB)</w:t>
      </w:r>
      <w:r w:rsidRPr="004008D4">
        <w:rPr>
          <w:rFonts w:cs="Arial"/>
          <w:i/>
          <w:sz w:val="24"/>
          <w:szCs w:val="24"/>
          <w:lang w:eastAsia="pl-PL"/>
        </w:rPr>
        <w:t xml:space="preserve"> stanowi usystematyzowany wykaz </w:t>
      </w:r>
      <w:r w:rsidRPr="004008D4">
        <w:rPr>
          <w:rFonts w:cs="Arial"/>
          <w:b/>
          <w:i/>
          <w:sz w:val="24"/>
          <w:szCs w:val="24"/>
          <w:lang w:eastAsia="pl-PL"/>
        </w:rPr>
        <w:t>obiektów budowlanych</w:t>
      </w:r>
      <w:r w:rsidRPr="004008D4">
        <w:rPr>
          <w:rFonts w:cs="Arial"/>
          <w:i/>
          <w:sz w:val="24"/>
          <w:szCs w:val="24"/>
          <w:lang w:eastAsia="pl-PL"/>
        </w:rPr>
        <w:t>, rozumianych jako produkty finalne działalno</w:t>
      </w:r>
      <w:r w:rsidRPr="004008D4">
        <w:rPr>
          <w:rFonts w:eastAsia="TimesNewRoman" w:cs="Arial"/>
          <w:i/>
          <w:sz w:val="24"/>
          <w:szCs w:val="24"/>
          <w:lang w:eastAsia="pl-PL"/>
        </w:rPr>
        <w:t>ś</w:t>
      </w:r>
      <w:r w:rsidRPr="004008D4">
        <w:rPr>
          <w:rFonts w:cs="Arial"/>
          <w:i/>
          <w:sz w:val="24"/>
          <w:szCs w:val="24"/>
          <w:lang w:eastAsia="pl-PL"/>
        </w:rPr>
        <w:t xml:space="preserve">ci budowlanej. </w:t>
      </w:r>
    </w:p>
    <w:p w:rsidR="00FE4504" w:rsidRPr="004008D4" w:rsidRDefault="00FE4504" w:rsidP="004008D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24"/>
          <w:szCs w:val="24"/>
        </w:rPr>
      </w:pPr>
      <w:r w:rsidRPr="004008D4">
        <w:rPr>
          <w:rFonts w:cs="Arial"/>
          <w:i/>
          <w:sz w:val="24"/>
          <w:szCs w:val="24"/>
        </w:rPr>
        <w:t xml:space="preserve">W Polskiej Klasyfikacji Obiektów Budowlanych obiekty budowlane grupowane są w dwóch sekcjach: "Budynki" i "Obiekty inżynierii lądowej i wodnej". </w:t>
      </w:r>
    </w:p>
    <w:p w:rsidR="00FE4504" w:rsidRPr="004008D4" w:rsidRDefault="00FE4504" w:rsidP="00F62DEC">
      <w:pPr>
        <w:spacing w:after="0" w:line="240" w:lineRule="auto"/>
        <w:rPr>
          <w:rFonts w:cs="Arial"/>
          <w:i/>
          <w:sz w:val="24"/>
          <w:szCs w:val="24"/>
        </w:rPr>
      </w:pPr>
    </w:p>
    <w:p w:rsidR="00FE4504" w:rsidRPr="004008D4" w:rsidRDefault="00FE4504" w:rsidP="00F62DE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4"/>
          <w:szCs w:val="24"/>
          <w:lang w:eastAsia="pl-PL"/>
        </w:rPr>
      </w:pPr>
      <w:r w:rsidRPr="004008D4">
        <w:rPr>
          <w:rFonts w:cs="Arial"/>
          <w:b/>
          <w:bCs/>
          <w:i/>
          <w:iCs/>
          <w:sz w:val="24"/>
          <w:szCs w:val="24"/>
          <w:lang w:eastAsia="pl-PL"/>
        </w:rPr>
        <w:t>PODZIAŁ OBIEKTÓW BUDOWLANYCH NA SEKCJE I DZIAŁY</w:t>
      </w:r>
    </w:p>
    <w:p w:rsidR="00FE4504" w:rsidRPr="004008D4" w:rsidRDefault="00FE4504" w:rsidP="00F62DEC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4"/>
          <w:szCs w:val="24"/>
          <w:lang w:eastAsia="pl-PL"/>
        </w:rPr>
      </w:pPr>
    </w:p>
    <w:p w:rsidR="00FE4504" w:rsidRPr="004008D4" w:rsidRDefault="00FE4504" w:rsidP="00F62DEC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4"/>
          <w:szCs w:val="24"/>
          <w:lang w:eastAsia="pl-PL"/>
        </w:rPr>
      </w:pPr>
      <w:r w:rsidRPr="004008D4">
        <w:rPr>
          <w:rFonts w:cs="Arial"/>
          <w:i/>
          <w:sz w:val="24"/>
          <w:szCs w:val="24"/>
          <w:lang w:eastAsia="pl-PL"/>
        </w:rPr>
        <w:lastRenderedPageBreak/>
        <w:t>1 BUDYNKI</w:t>
      </w:r>
    </w:p>
    <w:p w:rsidR="00FE4504" w:rsidRPr="004008D4" w:rsidRDefault="00FE4504" w:rsidP="00F62DEC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4"/>
          <w:szCs w:val="24"/>
          <w:lang w:eastAsia="pl-PL"/>
        </w:rPr>
      </w:pPr>
      <w:r w:rsidRPr="004008D4">
        <w:rPr>
          <w:rFonts w:cs="Arial"/>
          <w:i/>
          <w:sz w:val="24"/>
          <w:szCs w:val="24"/>
          <w:lang w:eastAsia="pl-PL"/>
        </w:rPr>
        <w:t>1</w:t>
      </w:r>
      <w:r w:rsidR="005047B5" w:rsidRPr="004008D4">
        <w:rPr>
          <w:rFonts w:cs="Arial"/>
          <w:i/>
          <w:sz w:val="24"/>
          <w:szCs w:val="24"/>
          <w:lang w:eastAsia="pl-PL"/>
        </w:rPr>
        <w:t>.</w:t>
      </w:r>
      <w:r w:rsidRPr="004008D4">
        <w:rPr>
          <w:rFonts w:cs="Arial"/>
          <w:i/>
          <w:sz w:val="24"/>
          <w:szCs w:val="24"/>
          <w:lang w:eastAsia="pl-PL"/>
        </w:rPr>
        <w:t>1 Budynki mieszkalne</w:t>
      </w:r>
    </w:p>
    <w:p w:rsidR="00FE4504" w:rsidRPr="004008D4" w:rsidRDefault="00FE4504" w:rsidP="00F62DEC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4"/>
          <w:szCs w:val="24"/>
          <w:lang w:eastAsia="pl-PL"/>
        </w:rPr>
      </w:pPr>
      <w:r w:rsidRPr="004008D4">
        <w:rPr>
          <w:rFonts w:cs="Arial"/>
          <w:i/>
          <w:sz w:val="24"/>
          <w:szCs w:val="24"/>
          <w:lang w:eastAsia="pl-PL"/>
        </w:rPr>
        <w:t>1</w:t>
      </w:r>
      <w:r w:rsidR="005047B5" w:rsidRPr="004008D4">
        <w:rPr>
          <w:rFonts w:cs="Arial"/>
          <w:i/>
          <w:sz w:val="24"/>
          <w:szCs w:val="24"/>
          <w:lang w:eastAsia="pl-PL"/>
        </w:rPr>
        <w:t>.</w:t>
      </w:r>
      <w:r w:rsidRPr="004008D4">
        <w:rPr>
          <w:rFonts w:cs="Arial"/>
          <w:i/>
          <w:sz w:val="24"/>
          <w:szCs w:val="24"/>
          <w:lang w:eastAsia="pl-PL"/>
        </w:rPr>
        <w:t>2 Budynki niemieszkalne</w:t>
      </w:r>
    </w:p>
    <w:p w:rsidR="005047B5" w:rsidRPr="004008D4" w:rsidRDefault="005047B5" w:rsidP="00F62DEC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4"/>
          <w:szCs w:val="24"/>
          <w:lang w:eastAsia="pl-PL"/>
        </w:rPr>
      </w:pPr>
    </w:p>
    <w:p w:rsidR="00FE4504" w:rsidRPr="004008D4" w:rsidRDefault="00FE4504" w:rsidP="00F62DEC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4"/>
          <w:szCs w:val="24"/>
          <w:lang w:eastAsia="pl-PL"/>
        </w:rPr>
      </w:pPr>
      <w:r w:rsidRPr="004008D4">
        <w:rPr>
          <w:rFonts w:cs="Arial"/>
          <w:i/>
          <w:sz w:val="24"/>
          <w:szCs w:val="24"/>
          <w:lang w:eastAsia="pl-PL"/>
        </w:rPr>
        <w:t>2 OBIEKTY INŻYNIERII L</w:t>
      </w:r>
      <w:r w:rsidRPr="004008D4">
        <w:rPr>
          <w:rFonts w:eastAsia="TimesNewRoman" w:cs="Arial"/>
          <w:i/>
          <w:sz w:val="24"/>
          <w:szCs w:val="24"/>
          <w:lang w:eastAsia="pl-PL"/>
        </w:rPr>
        <w:t>Ą</w:t>
      </w:r>
      <w:r w:rsidRPr="004008D4">
        <w:rPr>
          <w:rFonts w:cs="Arial"/>
          <w:i/>
          <w:sz w:val="24"/>
          <w:szCs w:val="24"/>
          <w:lang w:eastAsia="pl-PL"/>
        </w:rPr>
        <w:t>DOWEJ I WODNEJ</w:t>
      </w:r>
    </w:p>
    <w:p w:rsidR="00FE4504" w:rsidRPr="004008D4" w:rsidRDefault="00FE4504" w:rsidP="00F62DEC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4"/>
          <w:szCs w:val="24"/>
          <w:lang w:eastAsia="pl-PL"/>
        </w:rPr>
      </w:pPr>
      <w:r w:rsidRPr="004008D4">
        <w:rPr>
          <w:rFonts w:cs="Arial"/>
          <w:i/>
          <w:sz w:val="24"/>
          <w:szCs w:val="24"/>
          <w:lang w:eastAsia="pl-PL"/>
        </w:rPr>
        <w:t>2</w:t>
      </w:r>
      <w:r w:rsidR="005047B5" w:rsidRPr="004008D4">
        <w:rPr>
          <w:rFonts w:cs="Arial"/>
          <w:i/>
          <w:sz w:val="24"/>
          <w:szCs w:val="24"/>
          <w:lang w:eastAsia="pl-PL"/>
        </w:rPr>
        <w:t>.</w:t>
      </w:r>
      <w:r w:rsidRPr="004008D4">
        <w:rPr>
          <w:rFonts w:cs="Arial"/>
          <w:i/>
          <w:sz w:val="24"/>
          <w:szCs w:val="24"/>
          <w:lang w:eastAsia="pl-PL"/>
        </w:rPr>
        <w:t>1 Infrastruktura transportu</w:t>
      </w:r>
    </w:p>
    <w:p w:rsidR="00FE4504" w:rsidRPr="004008D4" w:rsidRDefault="00FE4504" w:rsidP="00F62DEC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4"/>
          <w:szCs w:val="24"/>
          <w:lang w:eastAsia="pl-PL"/>
        </w:rPr>
      </w:pPr>
      <w:r w:rsidRPr="004008D4">
        <w:rPr>
          <w:rFonts w:cs="Arial"/>
          <w:i/>
          <w:sz w:val="24"/>
          <w:szCs w:val="24"/>
          <w:lang w:eastAsia="pl-PL"/>
        </w:rPr>
        <w:t>2</w:t>
      </w:r>
      <w:r w:rsidR="005047B5" w:rsidRPr="004008D4">
        <w:rPr>
          <w:rFonts w:cs="Arial"/>
          <w:i/>
          <w:sz w:val="24"/>
          <w:szCs w:val="24"/>
          <w:lang w:eastAsia="pl-PL"/>
        </w:rPr>
        <w:t>.</w:t>
      </w:r>
      <w:r w:rsidRPr="004008D4">
        <w:rPr>
          <w:rFonts w:cs="Arial"/>
          <w:i/>
          <w:sz w:val="24"/>
          <w:szCs w:val="24"/>
          <w:lang w:eastAsia="pl-PL"/>
        </w:rPr>
        <w:t>2 Ruroci</w:t>
      </w:r>
      <w:r w:rsidRPr="004008D4">
        <w:rPr>
          <w:rFonts w:eastAsia="TimesNewRoman" w:cs="Arial"/>
          <w:i/>
          <w:sz w:val="24"/>
          <w:szCs w:val="24"/>
          <w:lang w:eastAsia="pl-PL"/>
        </w:rPr>
        <w:t>ą</w:t>
      </w:r>
      <w:r w:rsidRPr="004008D4">
        <w:rPr>
          <w:rFonts w:cs="Arial"/>
          <w:i/>
          <w:sz w:val="24"/>
          <w:szCs w:val="24"/>
          <w:lang w:eastAsia="pl-PL"/>
        </w:rPr>
        <w:t>gi</w:t>
      </w:r>
      <w:r w:rsidRPr="004008D4">
        <w:rPr>
          <w:rFonts w:cs="Arial"/>
          <w:i/>
          <w:sz w:val="24"/>
          <w:szCs w:val="24"/>
          <w:u w:val="single"/>
          <w:lang w:eastAsia="pl-PL"/>
        </w:rPr>
        <w:t>, linie telekomunikacyjne i elektroenergetyczne</w:t>
      </w:r>
    </w:p>
    <w:p w:rsidR="00FE4504" w:rsidRPr="004008D4" w:rsidRDefault="00FE4504" w:rsidP="00F62DEC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4"/>
          <w:szCs w:val="24"/>
          <w:lang w:eastAsia="pl-PL"/>
        </w:rPr>
      </w:pPr>
      <w:r w:rsidRPr="004008D4">
        <w:rPr>
          <w:rFonts w:cs="Arial"/>
          <w:i/>
          <w:sz w:val="24"/>
          <w:szCs w:val="24"/>
          <w:lang w:eastAsia="pl-PL"/>
        </w:rPr>
        <w:t>2</w:t>
      </w:r>
      <w:r w:rsidR="005047B5" w:rsidRPr="004008D4">
        <w:rPr>
          <w:rFonts w:cs="Arial"/>
          <w:i/>
          <w:sz w:val="24"/>
          <w:szCs w:val="24"/>
          <w:lang w:eastAsia="pl-PL"/>
        </w:rPr>
        <w:t>.</w:t>
      </w:r>
      <w:r w:rsidRPr="004008D4">
        <w:rPr>
          <w:rFonts w:cs="Arial"/>
          <w:i/>
          <w:sz w:val="24"/>
          <w:szCs w:val="24"/>
          <w:lang w:eastAsia="pl-PL"/>
        </w:rPr>
        <w:t>3 Kompleksowe budowle na terenach przemysłowych</w:t>
      </w:r>
    </w:p>
    <w:p w:rsidR="00FE4504" w:rsidRPr="004008D4" w:rsidRDefault="00FE4504" w:rsidP="00F62DEC">
      <w:pPr>
        <w:spacing w:after="0" w:line="240" w:lineRule="auto"/>
        <w:rPr>
          <w:rFonts w:cs="Arial"/>
          <w:i/>
          <w:sz w:val="24"/>
          <w:szCs w:val="24"/>
        </w:rPr>
      </w:pPr>
      <w:r w:rsidRPr="004008D4">
        <w:rPr>
          <w:rFonts w:cs="Arial"/>
          <w:i/>
          <w:sz w:val="24"/>
          <w:szCs w:val="24"/>
          <w:lang w:eastAsia="pl-PL"/>
        </w:rPr>
        <w:t>2</w:t>
      </w:r>
      <w:r w:rsidR="005047B5" w:rsidRPr="004008D4">
        <w:rPr>
          <w:rFonts w:cs="Arial"/>
          <w:i/>
          <w:sz w:val="24"/>
          <w:szCs w:val="24"/>
          <w:lang w:eastAsia="pl-PL"/>
        </w:rPr>
        <w:t>.</w:t>
      </w:r>
      <w:r w:rsidRPr="004008D4">
        <w:rPr>
          <w:rFonts w:cs="Arial"/>
          <w:i/>
          <w:sz w:val="24"/>
          <w:szCs w:val="24"/>
          <w:lang w:eastAsia="pl-PL"/>
        </w:rPr>
        <w:t>4 Obiekty inżynierii l</w:t>
      </w:r>
      <w:r w:rsidRPr="004008D4">
        <w:rPr>
          <w:rFonts w:eastAsia="TimesNewRoman" w:cs="Arial"/>
          <w:i/>
          <w:sz w:val="24"/>
          <w:szCs w:val="24"/>
          <w:lang w:eastAsia="pl-PL"/>
        </w:rPr>
        <w:t>ą</w:t>
      </w:r>
      <w:r w:rsidRPr="004008D4">
        <w:rPr>
          <w:rFonts w:cs="Arial"/>
          <w:i/>
          <w:sz w:val="24"/>
          <w:szCs w:val="24"/>
          <w:lang w:eastAsia="pl-PL"/>
        </w:rPr>
        <w:t>dowej i wodnej pozostałe</w:t>
      </w:r>
    </w:p>
    <w:p w:rsidR="00FE4504" w:rsidRPr="004008D4" w:rsidRDefault="00FE4504" w:rsidP="00F62DEC">
      <w:pPr>
        <w:spacing w:after="0" w:line="240" w:lineRule="auto"/>
        <w:rPr>
          <w:rFonts w:cs="Arial"/>
          <w:i/>
          <w:sz w:val="24"/>
          <w:szCs w:val="24"/>
        </w:rPr>
      </w:pPr>
    </w:p>
    <w:p w:rsidR="00FE4504" w:rsidRPr="004008D4" w:rsidRDefault="00FE4504" w:rsidP="00F62DEC">
      <w:pPr>
        <w:spacing w:after="0" w:line="240" w:lineRule="auto"/>
        <w:rPr>
          <w:rFonts w:cs="Arial"/>
          <w:i/>
          <w:sz w:val="24"/>
          <w:szCs w:val="24"/>
        </w:rPr>
      </w:pPr>
      <w:r w:rsidRPr="004008D4">
        <w:rPr>
          <w:rFonts w:cs="Arial"/>
          <w:b/>
          <w:i/>
          <w:sz w:val="24"/>
          <w:szCs w:val="24"/>
        </w:rPr>
        <w:t>2</w:t>
      </w:r>
      <w:r w:rsidR="005047B5" w:rsidRPr="004008D4">
        <w:rPr>
          <w:rFonts w:cs="Arial"/>
          <w:b/>
          <w:i/>
          <w:sz w:val="24"/>
          <w:szCs w:val="24"/>
        </w:rPr>
        <w:t>.</w:t>
      </w:r>
      <w:r w:rsidRPr="004008D4">
        <w:rPr>
          <w:rFonts w:cs="Arial"/>
          <w:b/>
          <w:i/>
          <w:sz w:val="24"/>
          <w:szCs w:val="24"/>
        </w:rPr>
        <w:t xml:space="preserve">111 </w:t>
      </w:r>
      <w:r w:rsidRPr="004008D4">
        <w:rPr>
          <w:rFonts w:cs="Arial"/>
          <w:i/>
          <w:sz w:val="24"/>
          <w:szCs w:val="24"/>
        </w:rPr>
        <w:t>Autostrady i drogi ekspresowe</w:t>
      </w:r>
    </w:p>
    <w:p w:rsidR="00FE4504" w:rsidRPr="004008D4" w:rsidRDefault="00FE4504" w:rsidP="00F62DEC">
      <w:pPr>
        <w:spacing w:after="0" w:line="240" w:lineRule="auto"/>
        <w:rPr>
          <w:rFonts w:cs="Arial"/>
          <w:i/>
          <w:sz w:val="24"/>
          <w:szCs w:val="24"/>
          <w:u w:val="single"/>
        </w:rPr>
      </w:pPr>
      <w:r w:rsidRPr="004008D4">
        <w:rPr>
          <w:rFonts w:cs="Arial"/>
          <w:i/>
          <w:sz w:val="24"/>
          <w:szCs w:val="24"/>
        </w:rPr>
        <w:t xml:space="preserve">Klasa obejmuje: - Autostrady i drogi ekspresowe międzymiastowe, w tym skrzyżowania i węzły wraz z: </w:t>
      </w:r>
      <w:r w:rsidRPr="004008D4">
        <w:rPr>
          <w:rFonts w:cs="Arial"/>
          <w:i/>
          <w:sz w:val="24"/>
          <w:szCs w:val="24"/>
          <w:u w:val="single"/>
        </w:rPr>
        <w:t>instalacjami do oświetlenia dróg i sygnalizacji</w:t>
      </w:r>
    </w:p>
    <w:p w:rsidR="00FE4504" w:rsidRPr="004008D4" w:rsidRDefault="00FE4504" w:rsidP="00F62DEC">
      <w:pPr>
        <w:spacing w:after="0" w:line="240" w:lineRule="auto"/>
        <w:rPr>
          <w:rFonts w:cs="Arial"/>
          <w:i/>
          <w:sz w:val="24"/>
          <w:szCs w:val="24"/>
          <w:u w:val="single"/>
        </w:rPr>
      </w:pPr>
    </w:p>
    <w:p w:rsidR="00FE4504" w:rsidRPr="004008D4" w:rsidRDefault="00FE4504" w:rsidP="00F62DEC">
      <w:pPr>
        <w:spacing w:after="0" w:line="240" w:lineRule="auto"/>
        <w:rPr>
          <w:rFonts w:cs="Arial"/>
          <w:i/>
          <w:sz w:val="24"/>
          <w:szCs w:val="24"/>
        </w:rPr>
      </w:pPr>
      <w:r w:rsidRPr="004008D4">
        <w:rPr>
          <w:rFonts w:cs="Arial"/>
          <w:b/>
          <w:i/>
          <w:sz w:val="24"/>
          <w:szCs w:val="24"/>
        </w:rPr>
        <w:t>2</w:t>
      </w:r>
      <w:r w:rsidR="005047B5" w:rsidRPr="004008D4">
        <w:rPr>
          <w:rFonts w:cs="Arial"/>
          <w:b/>
          <w:i/>
          <w:sz w:val="24"/>
          <w:szCs w:val="24"/>
        </w:rPr>
        <w:t>.</w:t>
      </w:r>
      <w:r w:rsidRPr="004008D4">
        <w:rPr>
          <w:rFonts w:cs="Arial"/>
          <w:b/>
          <w:i/>
          <w:sz w:val="24"/>
          <w:szCs w:val="24"/>
        </w:rPr>
        <w:t xml:space="preserve">112 </w:t>
      </w:r>
      <w:r w:rsidRPr="004008D4">
        <w:rPr>
          <w:rFonts w:cs="Arial"/>
          <w:i/>
          <w:sz w:val="24"/>
          <w:szCs w:val="24"/>
        </w:rPr>
        <w:t>Ulice i drogi pozostałe</w:t>
      </w:r>
    </w:p>
    <w:p w:rsidR="00FE4504" w:rsidRPr="004008D4" w:rsidRDefault="00FE4504" w:rsidP="00F62DEC">
      <w:pPr>
        <w:spacing w:after="0" w:line="240" w:lineRule="auto"/>
        <w:rPr>
          <w:rFonts w:cs="Arial"/>
          <w:i/>
          <w:sz w:val="24"/>
          <w:szCs w:val="24"/>
        </w:rPr>
      </w:pPr>
      <w:r w:rsidRPr="004008D4">
        <w:rPr>
          <w:rFonts w:cs="Arial"/>
          <w:i/>
          <w:sz w:val="24"/>
          <w:szCs w:val="24"/>
        </w:rPr>
        <w:t>Klasa obejmuje: - Drogi na obszarach miejskich i zamiejskich, w tym: ……………………………….</w:t>
      </w:r>
    </w:p>
    <w:p w:rsidR="00FE4504" w:rsidRPr="004008D4" w:rsidRDefault="00FE4504" w:rsidP="00F62DEC">
      <w:pPr>
        <w:spacing w:after="0" w:line="240" w:lineRule="auto"/>
        <w:rPr>
          <w:rFonts w:cs="Arial"/>
          <w:i/>
          <w:sz w:val="24"/>
          <w:szCs w:val="24"/>
        </w:rPr>
      </w:pPr>
      <w:r w:rsidRPr="004008D4">
        <w:rPr>
          <w:rFonts w:cs="Arial"/>
          <w:i/>
          <w:sz w:val="24"/>
          <w:szCs w:val="24"/>
        </w:rPr>
        <w:t xml:space="preserve">wraz z: </w:t>
      </w:r>
      <w:r w:rsidRPr="004008D4">
        <w:rPr>
          <w:rFonts w:cs="Arial"/>
          <w:i/>
          <w:sz w:val="24"/>
          <w:szCs w:val="24"/>
          <w:u w:val="single"/>
        </w:rPr>
        <w:t>instalacjami do oświetlenia dróg i sygnalizacji</w:t>
      </w:r>
    </w:p>
    <w:p w:rsidR="00FE4504" w:rsidRPr="004008D4" w:rsidRDefault="00FE4504" w:rsidP="00F62DEC">
      <w:pPr>
        <w:spacing w:after="0" w:line="240" w:lineRule="auto"/>
        <w:rPr>
          <w:rFonts w:cs="Arial"/>
          <w:b/>
          <w:i/>
          <w:sz w:val="24"/>
          <w:szCs w:val="24"/>
        </w:rPr>
      </w:pPr>
    </w:p>
    <w:p w:rsidR="00FE4504" w:rsidRPr="004008D4" w:rsidRDefault="00FE4504" w:rsidP="00F62DEC">
      <w:pPr>
        <w:spacing w:after="0" w:line="240" w:lineRule="auto"/>
        <w:rPr>
          <w:rFonts w:cs="Arial"/>
          <w:i/>
          <w:sz w:val="24"/>
          <w:szCs w:val="24"/>
        </w:rPr>
      </w:pPr>
      <w:r w:rsidRPr="004008D4">
        <w:rPr>
          <w:rFonts w:cs="Arial"/>
          <w:b/>
          <w:i/>
          <w:sz w:val="24"/>
          <w:szCs w:val="24"/>
        </w:rPr>
        <w:t>2</w:t>
      </w:r>
      <w:r w:rsidR="005047B5" w:rsidRPr="004008D4">
        <w:rPr>
          <w:rFonts w:cs="Arial"/>
          <w:b/>
          <w:i/>
          <w:sz w:val="24"/>
          <w:szCs w:val="24"/>
        </w:rPr>
        <w:t>.</w:t>
      </w:r>
      <w:r w:rsidRPr="004008D4">
        <w:rPr>
          <w:rFonts w:cs="Arial"/>
          <w:b/>
          <w:i/>
          <w:sz w:val="24"/>
          <w:szCs w:val="24"/>
        </w:rPr>
        <w:t>213</w:t>
      </w:r>
      <w:r w:rsidRPr="004008D4">
        <w:rPr>
          <w:rFonts w:cs="Arial"/>
          <w:i/>
          <w:sz w:val="24"/>
          <w:szCs w:val="24"/>
        </w:rPr>
        <w:t xml:space="preserve">  Linie telekomunikacyjne przesyłowe</w:t>
      </w:r>
    </w:p>
    <w:p w:rsidR="00FE4504" w:rsidRPr="004008D4" w:rsidRDefault="00FE4504" w:rsidP="00F62DEC">
      <w:pPr>
        <w:spacing w:after="0" w:line="240" w:lineRule="auto"/>
        <w:rPr>
          <w:rFonts w:cs="Arial"/>
          <w:i/>
          <w:sz w:val="24"/>
          <w:szCs w:val="24"/>
        </w:rPr>
      </w:pPr>
      <w:r w:rsidRPr="004008D4">
        <w:rPr>
          <w:rFonts w:cs="Arial"/>
          <w:i/>
          <w:sz w:val="24"/>
          <w:szCs w:val="24"/>
        </w:rPr>
        <w:t>Klasa obejmuje: - Linie telekomunikacyjne (nadziemne, podziemne lub podwodne), systemy przekaźnikowe, sieci radiowe, telewizyjne lub kablowe, stacje przekaźnikowe, radary, maszty, wieże i słupy telekomunikacyjne, infrastrukturę radiokomunikacyjną</w:t>
      </w:r>
    </w:p>
    <w:p w:rsidR="00FE4504" w:rsidRPr="004008D4" w:rsidRDefault="00FE4504" w:rsidP="00F62DEC">
      <w:pPr>
        <w:spacing w:after="0" w:line="240" w:lineRule="auto"/>
        <w:rPr>
          <w:rFonts w:cs="Arial"/>
          <w:i/>
          <w:sz w:val="24"/>
          <w:szCs w:val="24"/>
        </w:rPr>
      </w:pPr>
    </w:p>
    <w:p w:rsidR="00FE4504" w:rsidRPr="004008D4" w:rsidRDefault="00FE4504" w:rsidP="00F62DEC">
      <w:pPr>
        <w:spacing w:after="0" w:line="240" w:lineRule="auto"/>
        <w:rPr>
          <w:rFonts w:cs="Arial"/>
          <w:i/>
          <w:sz w:val="24"/>
          <w:szCs w:val="24"/>
        </w:rPr>
      </w:pPr>
      <w:r w:rsidRPr="004008D4">
        <w:rPr>
          <w:rFonts w:cs="Arial"/>
          <w:b/>
          <w:i/>
          <w:sz w:val="24"/>
          <w:szCs w:val="24"/>
        </w:rPr>
        <w:t>2</w:t>
      </w:r>
      <w:r w:rsidR="005047B5" w:rsidRPr="004008D4">
        <w:rPr>
          <w:rFonts w:cs="Arial"/>
          <w:b/>
          <w:i/>
          <w:sz w:val="24"/>
          <w:szCs w:val="24"/>
        </w:rPr>
        <w:t>.</w:t>
      </w:r>
      <w:r w:rsidRPr="004008D4">
        <w:rPr>
          <w:rFonts w:cs="Arial"/>
          <w:b/>
          <w:i/>
          <w:sz w:val="24"/>
          <w:szCs w:val="24"/>
        </w:rPr>
        <w:t>214</w:t>
      </w:r>
      <w:r w:rsidRPr="004008D4">
        <w:rPr>
          <w:rFonts w:cs="Arial"/>
          <w:i/>
          <w:sz w:val="24"/>
          <w:szCs w:val="24"/>
        </w:rPr>
        <w:t xml:space="preserve"> Linie elektroenergetyczne przesyłowe</w:t>
      </w:r>
    </w:p>
    <w:p w:rsidR="00FE4504" w:rsidRPr="004008D4" w:rsidRDefault="00FE4504" w:rsidP="00F62DEC">
      <w:pPr>
        <w:spacing w:after="0" w:line="240" w:lineRule="auto"/>
        <w:rPr>
          <w:rFonts w:cs="Arial"/>
          <w:i/>
          <w:sz w:val="24"/>
          <w:szCs w:val="24"/>
        </w:rPr>
      </w:pPr>
      <w:r w:rsidRPr="004008D4">
        <w:rPr>
          <w:rFonts w:cs="Arial"/>
          <w:i/>
          <w:sz w:val="24"/>
          <w:szCs w:val="24"/>
        </w:rPr>
        <w:t>Klasa obejmuje: - Linie elektroenergetyczne przesyłowe nadziemne lub podziemne,</w:t>
      </w:r>
    </w:p>
    <w:p w:rsidR="00FE4504" w:rsidRPr="004008D4" w:rsidRDefault="00FE4504" w:rsidP="00F62DEC">
      <w:pPr>
        <w:spacing w:after="0" w:line="240" w:lineRule="auto"/>
        <w:rPr>
          <w:rFonts w:cs="Arial"/>
          <w:i/>
          <w:sz w:val="24"/>
          <w:szCs w:val="24"/>
        </w:rPr>
      </w:pPr>
    </w:p>
    <w:p w:rsidR="00FE4504" w:rsidRPr="004008D4" w:rsidRDefault="00FE4504" w:rsidP="00F62DEC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4"/>
          <w:szCs w:val="24"/>
          <w:lang w:eastAsia="pl-PL"/>
        </w:rPr>
      </w:pPr>
      <w:r w:rsidRPr="004008D4">
        <w:rPr>
          <w:rFonts w:cs="Arial"/>
          <w:b/>
          <w:i/>
          <w:sz w:val="24"/>
          <w:szCs w:val="24"/>
          <w:lang w:eastAsia="pl-PL"/>
        </w:rPr>
        <w:t>2</w:t>
      </w:r>
      <w:r w:rsidR="005047B5" w:rsidRPr="004008D4">
        <w:rPr>
          <w:rFonts w:cs="Arial"/>
          <w:b/>
          <w:i/>
          <w:sz w:val="24"/>
          <w:szCs w:val="24"/>
          <w:lang w:eastAsia="pl-PL"/>
        </w:rPr>
        <w:t>.</w:t>
      </w:r>
      <w:r w:rsidRPr="004008D4">
        <w:rPr>
          <w:rFonts w:cs="Arial"/>
          <w:b/>
          <w:i/>
          <w:sz w:val="24"/>
          <w:szCs w:val="24"/>
          <w:lang w:eastAsia="pl-PL"/>
        </w:rPr>
        <w:t>224</w:t>
      </w:r>
      <w:r w:rsidRPr="004008D4">
        <w:rPr>
          <w:rFonts w:cs="Arial"/>
          <w:i/>
          <w:sz w:val="24"/>
          <w:szCs w:val="24"/>
          <w:lang w:eastAsia="pl-PL"/>
        </w:rPr>
        <w:t xml:space="preserve"> Linie elektroenergetyczne i telekomunikacyjne rozdzielcze</w:t>
      </w:r>
    </w:p>
    <w:p w:rsidR="00FE4504" w:rsidRPr="004008D4" w:rsidRDefault="00FE4504" w:rsidP="00F62DEC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4"/>
          <w:szCs w:val="24"/>
          <w:lang w:eastAsia="pl-PL"/>
        </w:rPr>
      </w:pPr>
      <w:r w:rsidRPr="004008D4">
        <w:rPr>
          <w:rFonts w:cs="Arial"/>
          <w:i/>
          <w:sz w:val="24"/>
          <w:szCs w:val="24"/>
          <w:lang w:eastAsia="pl-PL"/>
        </w:rPr>
        <w:t>Klasa obejmuje: - Linie elektroenergetyczne i telekomunikacyjne rozdzielcze (nadziemne lub podziemne)  i instalacje pomocnicze (stacje i podstacje transformatorowe, słupy telegraficzne, itp.)</w:t>
      </w:r>
    </w:p>
    <w:p w:rsidR="00FE4504" w:rsidRPr="004008D4" w:rsidRDefault="00FE4504" w:rsidP="00F62DEC">
      <w:pPr>
        <w:spacing w:after="0" w:line="240" w:lineRule="auto"/>
        <w:rPr>
          <w:rFonts w:cs="Arial"/>
          <w:i/>
          <w:sz w:val="24"/>
          <w:szCs w:val="24"/>
          <w:lang w:eastAsia="pl-PL"/>
        </w:rPr>
      </w:pPr>
      <w:r w:rsidRPr="004008D4">
        <w:rPr>
          <w:rFonts w:cs="Arial"/>
          <w:i/>
          <w:sz w:val="24"/>
          <w:szCs w:val="24"/>
          <w:lang w:eastAsia="pl-PL"/>
        </w:rPr>
        <w:t>- Lokalne sieci telewizji kablowej i zwi</w:t>
      </w:r>
      <w:r w:rsidRPr="004008D4">
        <w:rPr>
          <w:rFonts w:eastAsia="TimesNewRoman" w:cs="Arial"/>
          <w:i/>
          <w:sz w:val="24"/>
          <w:szCs w:val="24"/>
          <w:lang w:eastAsia="pl-PL"/>
        </w:rPr>
        <w:t>ą</w:t>
      </w:r>
      <w:r w:rsidRPr="004008D4">
        <w:rPr>
          <w:rFonts w:cs="Arial"/>
          <w:i/>
          <w:sz w:val="24"/>
          <w:szCs w:val="24"/>
          <w:lang w:eastAsia="pl-PL"/>
        </w:rPr>
        <w:t>zane z ni</w:t>
      </w:r>
      <w:r w:rsidRPr="004008D4">
        <w:rPr>
          <w:rFonts w:eastAsia="TimesNewRoman" w:cs="Arial"/>
          <w:i/>
          <w:sz w:val="24"/>
          <w:szCs w:val="24"/>
          <w:lang w:eastAsia="pl-PL"/>
        </w:rPr>
        <w:t xml:space="preserve">ą </w:t>
      </w:r>
      <w:r w:rsidRPr="004008D4">
        <w:rPr>
          <w:rFonts w:cs="Arial"/>
          <w:i/>
          <w:sz w:val="24"/>
          <w:szCs w:val="24"/>
          <w:lang w:eastAsia="pl-PL"/>
        </w:rPr>
        <w:t>anteny zbiorcze</w:t>
      </w:r>
    </w:p>
    <w:p w:rsidR="00FE4504" w:rsidRPr="004008D4" w:rsidRDefault="00FE4504" w:rsidP="00F62DEC">
      <w:pPr>
        <w:spacing w:after="0" w:line="240" w:lineRule="auto"/>
        <w:rPr>
          <w:rFonts w:cs="Arial"/>
          <w:i/>
          <w:sz w:val="24"/>
          <w:szCs w:val="24"/>
          <w:lang w:eastAsia="pl-PL"/>
        </w:rPr>
      </w:pPr>
    </w:p>
    <w:p w:rsidR="00FE4504" w:rsidRPr="004008D4" w:rsidRDefault="00FE4504" w:rsidP="007E37AA">
      <w:pPr>
        <w:spacing w:after="0" w:line="240" w:lineRule="auto"/>
        <w:jc w:val="both"/>
        <w:rPr>
          <w:rFonts w:cs="Arial"/>
          <w:i/>
          <w:sz w:val="24"/>
          <w:szCs w:val="24"/>
        </w:rPr>
      </w:pPr>
      <w:r w:rsidRPr="004008D4">
        <w:rPr>
          <w:rFonts w:cs="Arial"/>
          <w:i/>
          <w:sz w:val="24"/>
          <w:szCs w:val="24"/>
        </w:rPr>
        <w:t>Biorąc pod uwagę powyższe definicje w zakresie Rozporządzenia CPR są wszystkie rodzaje kabli, w tym kable „zabudowane na stałe” w liniach telekomunikacyjnych i elektroenergetycznych</w:t>
      </w:r>
      <w:r w:rsidR="005047B5" w:rsidRPr="004008D4">
        <w:rPr>
          <w:rFonts w:cs="Arial"/>
          <w:i/>
          <w:sz w:val="24"/>
          <w:szCs w:val="24"/>
        </w:rPr>
        <w:t>,</w:t>
      </w:r>
      <w:r w:rsidRPr="004008D4">
        <w:rPr>
          <w:rFonts w:cs="Arial"/>
          <w:i/>
          <w:sz w:val="24"/>
          <w:szCs w:val="24"/>
        </w:rPr>
        <w:t xml:space="preserve"> a nie tylko kable wewnątrzbudynkowe.</w:t>
      </w:r>
    </w:p>
    <w:p w:rsidR="00915F9B" w:rsidRPr="00A6577E" w:rsidRDefault="00915F9B" w:rsidP="00F62DEC">
      <w:pPr>
        <w:spacing w:after="0" w:line="240" w:lineRule="auto"/>
        <w:rPr>
          <w:rFonts w:ascii="Arial" w:hAnsi="Arial" w:cs="Arial"/>
        </w:rPr>
      </w:pPr>
    </w:p>
    <w:p w:rsidR="007E37AA" w:rsidRDefault="007E37AA" w:rsidP="007E37AA">
      <w:pPr>
        <w:spacing w:after="0" w:line="240" w:lineRule="auto"/>
        <w:jc w:val="both"/>
        <w:rPr>
          <w:rFonts w:cs="Arial"/>
        </w:rPr>
      </w:pPr>
      <w:r w:rsidRPr="007E37AA">
        <w:rPr>
          <w:rFonts w:cs="Arial"/>
        </w:rPr>
        <w:t xml:space="preserve">Rozporządzenie zobowiązuje producentów wyrobów do sporządzenia </w:t>
      </w:r>
      <w:r w:rsidR="00DF6B21" w:rsidRPr="00DF6B21">
        <w:rPr>
          <w:rFonts w:cs="Arial"/>
          <w:b/>
        </w:rPr>
        <w:t>D</w:t>
      </w:r>
      <w:r w:rsidRPr="007E37AA">
        <w:rPr>
          <w:rFonts w:cs="Arial"/>
          <w:b/>
        </w:rPr>
        <w:t xml:space="preserve">eklaracji </w:t>
      </w:r>
      <w:r w:rsidR="00DF6B21">
        <w:rPr>
          <w:rFonts w:cs="Arial"/>
          <w:b/>
        </w:rPr>
        <w:t>W</w:t>
      </w:r>
      <w:r w:rsidRPr="007E37AA">
        <w:rPr>
          <w:rFonts w:cs="Arial"/>
          <w:b/>
        </w:rPr>
        <w:t xml:space="preserve">łaściwości </w:t>
      </w:r>
      <w:r w:rsidR="00DF6B21">
        <w:rPr>
          <w:rFonts w:cs="Arial"/>
          <w:b/>
        </w:rPr>
        <w:t>U</w:t>
      </w:r>
      <w:r w:rsidRPr="007E37AA">
        <w:rPr>
          <w:rFonts w:cs="Arial"/>
          <w:b/>
        </w:rPr>
        <w:t>żytkowych</w:t>
      </w:r>
      <w:r w:rsidRPr="007E37AA">
        <w:rPr>
          <w:rFonts w:cs="Arial"/>
        </w:rPr>
        <w:t xml:space="preserve"> zasadniczych charakterystyk wyrobu w oparciu o dokumentację techniczną i badania próbek zgodnie z zasadami systemu oceny zgodności ustalonymi dla danej grupy wyrobów. </w:t>
      </w:r>
    </w:p>
    <w:p w:rsidR="008D3B8D" w:rsidRDefault="008D3B8D" w:rsidP="008D3B8D">
      <w:pPr>
        <w:pStyle w:val="Default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379"/>
      </w:tblGrid>
      <w:tr w:rsidR="008D3B8D" w:rsidTr="008D3B8D">
        <w:trPr>
          <w:trHeight w:val="140"/>
        </w:trPr>
        <w:tc>
          <w:tcPr>
            <w:tcW w:w="2943" w:type="dxa"/>
            <w:vAlign w:val="center"/>
          </w:tcPr>
          <w:p w:rsidR="008D3B8D" w:rsidRPr="008D3B8D" w:rsidRDefault="008D3B8D" w:rsidP="008D3B8D">
            <w:pPr>
              <w:pStyle w:val="Default"/>
              <w:jc w:val="center"/>
            </w:pPr>
            <w:r w:rsidRPr="008D3B8D">
              <w:rPr>
                <w:b/>
                <w:bCs/>
              </w:rPr>
              <w:t>KLASA ODPORNOŚCI OGNIOWEJ KABLI</w:t>
            </w:r>
          </w:p>
        </w:tc>
        <w:tc>
          <w:tcPr>
            <w:tcW w:w="6379" w:type="dxa"/>
            <w:vAlign w:val="center"/>
          </w:tcPr>
          <w:p w:rsidR="008D3B8D" w:rsidRPr="008D3B8D" w:rsidRDefault="008D3B8D" w:rsidP="008D3B8D">
            <w:pPr>
              <w:pStyle w:val="Default"/>
              <w:jc w:val="center"/>
            </w:pPr>
            <w:r w:rsidRPr="008D3B8D">
              <w:rPr>
                <w:b/>
                <w:bCs/>
              </w:rPr>
              <w:t>SYSTEM OCENY ZGODNOŚCI</w:t>
            </w:r>
          </w:p>
        </w:tc>
      </w:tr>
      <w:tr w:rsidR="008D3B8D" w:rsidTr="008D3B8D">
        <w:trPr>
          <w:trHeight w:val="601"/>
        </w:trPr>
        <w:tc>
          <w:tcPr>
            <w:tcW w:w="2943" w:type="dxa"/>
          </w:tcPr>
          <w:p w:rsidR="008D3B8D" w:rsidRPr="008D3B8D" w:rsidRDefault="008D3B8D">
            <w:pPr>
              <w:pStyle w:val="Default"/>
            </w:pPr>
            <w:r w:rsidRPr="008D3B8D">
              <w:rPr>
                <w:b/>
                <w:bCs/>
              </w:rPr>
              <w:t xml:space="preserve">Aca; B1ca; B2ca; Cca </w:t>
            </w:r>
          </w:p>
        </w:tc>
        <w:tc>
          <w:tcPr>
            <w:tcW w:w="6379" w:type="dxa"/>
          </w:tcPr>
          <w:p w:rsidR="008D3B8D" w:rsidRPr="008D3B8D" w:rsidRDefault="008D3B8D" w:rsidP="008D3B8D">
            <w:pPr>
              <w:pStyle w:val="Default"/>
            </w:pPr>
            <w:r w:rsidRPr="008D3B8D">
              <w:rPr>
                <w:b/>
              </w:rPr>
              <w:t xml:space="preserve">1+ </w:t>
            </w:r>
            <w:r w:rsidRPr="008D3B8D">
              <w:t xml:space="preserve">(udział jednostki notyfikowanej do CPR -badanie kabla oraz certyfikacja zakładowej kontroli jakości) </w:t>
            </w:r>
          </w:p>
        </w:tc>
      </w:tr>
      <w:tr w:rsidR="008D3B8D" w:rsidTr="008D3B8D">
        <w:trPr>
          <w:trHeight w:val="380"/>
        </w:trPr>
        <w:tc>
          <w:tcPr>
            <w:tcW w:w="2943" w:type="dxa"/>
          </w:tcPr>
          <w:p w:rsidR="008D3B8D" w:rsidRPr="008D3B8D" w:rsidRDefault="008D3B8D">
            <w:pPr>
              <w:pStyle w:val="Default"/>
            </w:pPr>
            <w:r w:rsidRPr="008D3B8D">
              <w:rPr>
                <w:b/>
                <w:bCs/>
              </w:rPr>
              <w:t xml:space="preserve">Dca; Eca </w:t>
            </w:r>
          </w:p>
        </w:tc>
        <w:tc>
          <w:tcPr>
            <w:tcW w:w="6379" w:type="dxa"/>
          </w:tcPr>
          <w:p w:rsidR="008D3B8D" w:rsidRPr="008D3B8D" w:rsidRDefault="008D3B8D" w:rsidP="008D3B8D">
            <w:pPr>
              <w:pStyle w:val="Default"/>
            </w:pPr>
            <w:r w:rsidRPr="008D3B8D">
              <w:rPr>
                <w:b/>
              </w:rPr>
              <w:t xml:space="preserve">3 </w:t>
            </w:r>
            <w:r w:rsidRPr="008D3B8D">
              <w:t xml:space="preserve">(udział jednostki notyfikowanej do CPR -badanie kabla) </w:t>
            </w:r>
          </w:p>
        </w:tc>
      </w:tr>
      <w:tr w:rsidR="008D3B8D" w:rsidTr="008D3B8D">
        <w:trPr>
          <w:trHeight w:val="380"/>
        </w:trPr>
        <w:tc>
          <w:tcPr>
            <w:tcW w:w="2943" w:type="dxa"/>
          </w:tcPr>
          <w:p w:rsidR="008D3B8D" w:rsidRPr="008D3B8D" w:rsidRDefault="008D3B8D">
            <w:pPr>
              <w:pStyle w:val="Default"/>
            </w:pPr>
            <w:r w:rsidRPr="008D3B8D">
              <w:rPr>
                <w:b/>
                <w:bCs/>
              </w:rPr>
              <w:t xml:space="preserve">Fca </w:t>
            </w:r>
          </w:p>
        </w:tc>
        <w:tc>
          <w:tcPr>
            <w:tcW w:w="6379" w:type="dxa"/>
          </w:tcPr>
          <w:p w:rsidR="008D3B8D" w:rsidRPr="008D3B8D" w:rsidRDefault="008D3B8D" w:rsidP="008D3B8D">
            <w:pPr>
              <w:pStyle w:val="Default"/>
            </w:pPr>
            <w:r w:rsidRPr="008D3B8D">
              <w:rPr>
                <w:b/>
              </w:rPr>
              <w:t xml:space="preserve">4 </w:t>
            </w:r>
            <w:r w:rsidRPr="008D3B8D">
              <w:t xml:space="preserve">(bez udziału jednostki notyfikowanej) </w:t>
            </w:r>
          </w:p>
        </w:tc>
      </w:tr>
    </w:tbl>
    <w:p w:rsidR="008D3B8D" w:rsidRDefault="008D3B8D" w:rsidP="007E37AA">
      <w:pPr>
        <w:spacing w:after="0" w:line="240" w:lineRule="auto"/>
        <w:jc w:val="both"/>
        <w:rPr>
          <w:rFonts w:cs="Arial"/>
        </w:rPr>
      </w:pPr>
    </w:p>
    <w:p w:rsidR="00DF6B21" w:rsidRPr="00DF6B21" w:rsidRDefault="00DF6B21" w:rsidP="00DF6B21">
      <w:pPr>
        <w:spacing w:after="0" w:line="240" w:lineRule="auto"/>
        <w:jc w:val="both"/>
        <w:rPr>
          <w:rFonts w:cs="Arial"/>
        </w:rPr>
      </w:pPr>
      <w:r w:rsidRPr="00DF6B21">
        <w:rPr>
          <w:rFonts w:cs="Arial"/>
        </w:rPr>
        <w:lastRenderedPageBreak/>
        <w:t>Deklarację właściwości użytkowych sporządza się stosując wzór przedstawiony w załączniku III Rozporządzenia NR 305/2011</w:t>
      </w:r>
      <w:r w:rsidR="008D3B8D" w:rsidRPr="008D3B8D">
        <w:t xml:space="preserve"> </w:t>
      </w:r>
      <w:r w:rsidR="008D3B8D" w:rsidRPr="008D3B8D">
        <w:rPr>
          <w:rFonts w:cs="Arial"/>
        </w:rPr>
        <w:t>oraz publikuje do pobrania na stronie internetowej</w:t>
      </w:r>
      <w:r w:rsidR="008D3B8D">
        <w:rPr>
          <w:rFonts w:cs="Arial"/>
        </w:rPr>
        <w:t xml:space="preserve"> producenta</w:t>
      </w:r>
      <w:r w:rsidR="008D3B8D" w:rsidRPr="008D3B8D">
        <w:rPr>
          <w:rFonts w:cs="Arial"/>
        </w:rPr>
        <w:t>.</w:t>
      </w:r>
    </w:p>
    <w:p w:rsidR="00DF6B21" w:rsidRPr="00DF6B21" w:rsidRDefault="00DF6B21" w:rsidP="00DF6B21">
      <w:pPr>
        <w:spacing w:after="0" w:line="240" w:lineRule="auto"/>
        <w:jc w:val="both"/>
        <w:rPr>
          <w:rFonts w:cs="Arial"/>
        </w:rPr>
      </w:pPr>
    </w:p>
    <w:p w:rsidR="00DF6B21" w:rsidRPr="00DF6B21" w:rsidRDefault="00DF6B21" w:rsidP="00DF6B21">
      <w:pPr>
        <w:spacing w:after="0" w:line="240" w:lineRule="auto"/>
        <w:jc w:val="both"/>
        <w:rPr>
          <w:rFonts w:cs="Arial"/>
        </w:rPr>
      </w:pPr>
      <w:r w:rsidRPr="00DF6B21">
        <w:rPr>
          <w:rFonts w:cs="Arial"/>
        </w:rPr>
        <w:t>Kopię deklaracji właściwości użytkowych producent dostarcza na żądanie odbiorcy w formie papierowej albo przesyła ją drogą elektroniczną.</w:t>
      </w:r>
    </w:p>
    <w:p w:rsidR="00DF6B21" w:rsidRPr="00DF6B21" w:rsidRDefault="00DF6B21" w:rsidP="00DF6B21">
      <w:pPr>
        <w:spacing w:after="0" w:line="240" w:lineRule="auto"/>
        <w:jc w:val="both"/>
        <w:rPr>
          <w:rFonts w:cs="Arial"/>
        </w:rPr>
      </w:pPr>
    </w:p>
    <w:p w:rsidR="00DF6B21" w:rsidRPr="00DF6B21" w:rsidRDefault="00DF6B21" w:rsidP="00DF6B21">
      <w:pPr>
        <w:spacing w:after="0" w:line="240" w:lineRule="auto"/>
        <w:jc w:val="both"/>
        <w:rPr>
          <w:rFonts w:cs="Arial"/>
        </w:rPr>
      </w:pPr>
      <w:r w:rsidRPr="00DF6B21">
        <w:rPr>
          <w:rFonts w:cs="Arial"/>
        </w:rPr>
        <w:t>Producenci sporządzają, jako podstawę do deklaracji właściwości użytkowych, dokumentację techniczną opisującą wszystkie istotne elementy związane z wymaganym systemem oceny i weryfikacji stałości właściwości użytkowych.</w:t>
      </w:r>
    </w:p>
    <w:p w:rsidR="00DF6B21" w:rsidRPr="00DF6B21" w:rsidRDefault="00DF6B21" w:rsidP="00DF6B21">
      <w:pPr>
        <w:spacing w:after="0" w:line="240" w:lineRule="auto"/>
        <w:jc w:val="both"/>
        <w:rPr>
          <w:rFonts w:cs="Arial"/>
        </w:rPr>
      </w:pPr>
    </w:p>
    <w:p w:rsidR="00DF6B21" w:rsidRPr="00DF6B21" w:rsidRDefault="00DF6B21" w:rsidP="00DF6B21">
      <w:pPr>
        <w:spacing w:after="0" w:line="240" w:lineRule="auto"/>
        <w:jc w:val="both"/>
        <w:rPr>
          <w:rFonts w:cs="Arial"/>
        </w:rPr>
      </w:pPr>
      <w:r w:rsidRPr="00DF6B21">
        <w:rPr>
          <w:rFonts w:cs="Arial"/>
        </w:rPr>
        <w:t>Producenci przechowują dokumentację techniczną oraz deklarację właściwości użytkowych przez okres 10 lat od momentu wprowadzenia wyrobu budowlanego do obrotu.</w:t>
      </w:r>
    </w:p>
    <w:p w:rsidR="00DF6B21" w:rsidRPr="00DF6B21" w:rsidRDefault="00DF6B21" w:rsidP="00DF6B21">
      <w:pPr>
        <w:spacing w:after="0" w:line="240" w:lineRule="auto"/>
        <w:jc w:val="both"/>
        <w:rPr>
          <w:rFonts w:cs="Arial"/>
        </w:rPr>
      </w:pPr>
    </w:p>
    <w:p w:rsidR="00DF6B21" w:rsidRPr="00DF6B21" w:rsidRDefault="00DF6B21" w:rsidP="00DF6B21">
      <w:pPr>
        <w:spacing w:after="0" w:line="240" w:lineRule="auto"/>
        <w:jc w:val="both"/>
        <w:rPr>
          <w:rFonts w:cs="Arial"/>
        </w:rPr>
      </w:pPr>
      <w:r w:rsidRPr="00DF6B21">
        <w:rPr>
          <w:rFonts w:cs="Arial"/>
        </w:rPr>
        <w:t>DoP musi być wydana w języku kraju do którego sprzedawany jest wyrób.</w:t>
      </w:r>
    </w:p>
    <w:p w:rsidR="00DF6B21" w:rsidRPr="00DF6B21" w:rsidRDefault="00DF6B21" w:rsidP="00DF6B21">
      <w:pPr>
        <w:spacing w:after="0" w:line="240" w:lineRule="auto"/>
        <w:jc w:val="both"/>
        <w:rPr>
          <w:rFonts w:cs="Arial"/>
        </w:rPr>
      </w:pPr>
    </w:p>
    <w:p w:rsidR="00DF6B21" w:rsidRPr="007E37AA" w:rsidRDefault="00DF6B21" w:rsidP="00DF6B21">
      <w:pPr>
        <w:spacing w:after="0" w:line="240" w:lineRule="auto"/>
        <w:jc w:val="both"/>
        <w:rPr>
          <w:rFonts w:cs="Arial"/>
        </w:rPr>
      </w:pPr>
      <w:r w:rsidRPr="00DF6B21">
        <w:rPr>
          <w:rFonts w:cs="Arial"/>
        </w:rPr>
        <w:t>Na kablach</w:t>
      </w:r>
      <w:r w:rsidR="008D3B8D">
        <w:rPr>
          <w:rFonts w:cs="Arial"/>
        </w:rPr>
        <w:t xml:space="preserve"> i/lub etykietach wyrobów</w:t>
      </w:r>
      <w:r w:rsidRPr="00DF6B21">
        <w:rPr>
          <w:rFonts w:cs="Arial"/>
        </w:rPr>
        <w:t xml:space="preserve"> dla których producent sporządził deklarację właściwości użytkowych umieszcza się oznakowanie CE.</w:t>
      </w:r>
    </w:p>
    <w:p w:rsidR="007E37AA" w:rsidRPr="007E37AA" w:rsidRDefault="007E37AA" w:rsidP="007E37AA">
      <w:pPr>
        <w:spacing w:after="0" w:line="240" w:lineRule="auto"/>
        <w:rPr>
          <w:rFonts w:ascii="Arial" w:hAnsi="Arial" w:cs="Arial"/>
          <w:color w:val="1F497D"/>
        </w:rPr>
      </w:pPr>
    </w:p>
    <w:p w:rsidR="00544943" w:rsidRDefault="00544943" w:rsidP="00F62DEC">
      <w:pPr>
        <w:spacing w:after="0" w:line="240" w:lineRule="auto"/>
        <w:rPr>
          <w:rFonts w:ascii="Arial" w:hAnsi="Arial" w:cs="Arial"/>
        </w:rPr>
      </w:pPr>
    </w:p>
    <w:p w:rsidR="00A6577E" w:rsidRPr="00AC081A" w:rsidRDefault="00C91321" w:rsidP="00650B18">
      <w:pPr>
        <w:pStyle w:val="Akapitzlist"/>
        <w:numPr>
          <w:ilvl w:val="0"/>
          <w:numId w:val="1"/>
        </w:numPr>
        <w:ind w:left="720"/>
        <w:rPr>
          <w:b/>
          <w:sz w:val="28"/>
          <w:szCs w:val="28"/>
        </w:rPr>
      </w:pPr>
      <w:r w:rsidRPr="000131C6">
        <w:rPr>
          <w:b/>
          <w:sz w:val="28"/>
          <w:szCs w:val="28"/>
        </w:rPr>
        <w:t>Kable i przewody zasilające obwody odpowiedzialne za bezpieczeństwo pożarowe.</w:t>
      </w:r>
      <w:r w:rsidR="005047B5" w:rsidRPr="005047B5">
        <w:t xml:space="preserve"> </w:t>
      </w:r>
    </w:p>
    <w:p w:rsidR="00AC081A" w:rsidRPr="00AC081A" w:rsidRDefault="00AC081A" w:rsidP="00650B1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AC081A">
        <w:rPr>
          <w:sz w:val="24"/>
          <w:szCs w:val="24"/>
        </w:rPr>
        <w:t>W budynkach oprócz instalacji zasilających obwody użytkowe oraz telekomunikacyjne występują często instalacje odpowiedzialne ze bezpieczeństwo pożarowe. W większości przypadków odpowiadają za wczesne wykrycie, alarmowanie i rozgłaszanie sygnałów</w:t>
      </w:r>
      <w:r w:rsidR="00650B18">
        <w:rPr>
          <w:sz w:val="24"/>
          <w:szCs w:val="24"/>
        </w:rPr>
        <w:t xml:space="preserve">                       </w:t>
      </w:r>
      <w:r w:rsidRPr="00AC081A">
        <w:rPr>
          <w:sz w:val="24"/>
          <w:szCs w:val="24"/>
        </w:rPr>
        <w:t xml:space="preserve"> i komunikatów ewakuacyjnych, a także zasilanie i sterowanie urządzeń przeciwpożarowych.</w:t>
      </w:r>
    </w:p>
    <w:p w:rsidR="00AC081A" w:rsidRDefault="00AC081A" w:rsidP="00650B1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AC081A">
        <w:rPr>
          <w:sz w:val="24"/>
          <w:szCs w:val="24"/>
        </w:rPr>
        <w:t>Kable takie</w:t>
      </w:r>
      <w:r>
        <w:rPr>
          <w:sz w:val="24"/>
          <w:szCs w:val="24"/>
        </w:rPr>
        <w:t xml:space="preserve"> z reguły</w:t>
      </w:r>
      <w:r w:rsidRPr="00AC081A">
        <w:rPr>
          <w:sz w:val="24"/>
          <w:szCs w:val="24"/>
        </w:rPr>
        <w:t xml:space="preserve"> podlegają pod Dyrektywę niskonapięciową i muszą spełnić pełną procedurę z końcowym naniesieniem znaku CE.</w:t>
      </w:r>
    </w:p>
    <w:p w:rsidR="00E21314" w:rsidRDefault="00E21314" w:rsidP="00650B1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E21314" w:rsidRPr="00E21314" w:rsidRDefault="00E21314" w:rsidP="00650B18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E21314">
        <w:rPr>
          <w:b/>
          <w:sz w:val="24"/>
          <w:szCs w:val="24"/>
        </w:rPr>
        <w:t>Krajowa Deklaracja Własności Użytkowych (KDWU)</w:t>
      </w:r>
    </w:p>
    <w:p w:rsidR="00E21314" w:rsidRPr="00E21314" w:rsidRDefault="00AC081A" w:rsidP="00650B1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E21314">
        <w:rPr>
          <w:sz w:val="24"/>
          <w:szCs w:val="24"/>
        </w:rPr>
        <w:t>K</w:t>
      </w:r>
      <w:r w:rsidR="005047B5" w:rsidRPr="00E21314">
        <w:rPr>
          <w:sz w:val="24"/>
          <w:szCs w:val="24"/>
        </w:rPr>
        <w:t>able i przewody do instalacji pożarowych</w:t>
      </w:r>
      <w:r w:rsidR="00650B18">
        <w:rPr>
          <w:sz w:val="24"/>
          <w:szCs w:val="24"/>
        </w:rPr>
        <w:t xml:space="preserve"> są wyłączone z zakresu normy PN-EN 50575 zharmonizowanej z Rozporządzeniem CPR. </w:t>
      </w:r>
      <w:r w:rsidR="00CF7E33">
        <w:rPr>
          <w:sz w:val="24"/>
          <w:szCs w:val="24"/>
        </w:rPr>
        <w:t>Dlatego p</w:t>
      </w:r>
      <w:r w:rsidR="005047B5" w:rsidRPr="00E21314">
        <w:rPr>
          <w:sz w:val="24"/>
          <w:szCs w:val="24"/>
        </w:rPr>
        <w:t>odlegają pod</w:t>
      </w:r>
      <w:r w:rsidR="00FD407D">
        <w:rPr>
          <w:sz w:val="24"/>
          <w:szCs w:val="24"/>
        </w:rPr>
        <w:t xml:space="preserve"> </w:t>
      </w:r>
      <w:r w:rsidR="00650B18" w:rsidRPr="00BA3092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17 listopada 2016 r. w sprawie sposobu deklarowania właściwości użytkowych wyrobów budowlanych oraz sposobu znakowania ich znakiem budowlanym</w:t>
      </w:r>
      <w:r w:rsidR="00FD407D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FD407D" w:rsidRPr="00BA3092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2016 poz. 1966</w:t>
      </w:r>
      <w:r w:rsidR="00FD407D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5047B5" w:rsidRPr="00E21314">
        <w:rPr>
          <w:sz w:val="24"/>
          <w:szCs w:val="24"/>
        </w:rPr>
        <w:t>.</w:t>
      </w:r>
      <w:r w:rsidR="00FD407D" w:rsidRPr="00FD407D">
        <w:rPr>
          <w:sz w:val="24"/>
          <w:szCs w:val="24"/>
        </w:rPr>
        <w:t xml:space="preserve"> </w:t>
      </w:r>
    </w:p>
    <w:p w:rsidR="00A6577E" w:rsidRPr="00E21314" w:rsidRDefault="00A6577E" w:rsidP="00650B1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E21314">
        <w:rPr>
          <w:sz w:val="24"/>
          <w:szCs w:val="24"/>
        </w:rPr>
        <w:t>Rozporządzenie przewiduje, że dla wyrobów</w:t>
      </w:r>
      <w:r w:rsidR="00FD407D">
        <w:rPr>
          <w:sz w:val="24"/>
          <w:szCs w:val="24"/>
        </w:rPr>
        <w:t xml:space="preserve">, które nie są objęte normą krajową </w:t>
      </w:r>
      <w:r w:rsidR="00FD407D" w:rsidRPr="00A83000">
        <w:rPr>
          <w:sz w:val="24"/>
          <w:szCs w:val="24"/>
        </w:rPr>
        <w:t>(norma nie może mieć statusu normy wycofanej)</w:t>
      </w:r>
      <w:r w:rsidR="00FD407D">
        <w:rPr>
          <w:sz w:val="24"/>
          <w:szCs w:val="24"/>
        </w:rPr>
        <w:t xml:space="preserve"> </w:t>
      </w:r>
      <w:r w:rsidRPr="00E21314">
        <w:rPr>
          <w:sz w:val="24"/>
          <w:szCs w:val="24"/>
        </w:rPr>
        <w:t>należy opracować Krajową Ocenę Techniczną</w:t>
      </w:r>
      <w:r w:rsidR="00FD407D">
        <w:rPr>
          <w:sz w:val="24"/>
          <w:szCs w:val="24"/>
        </w:rPr>
        <w:t>.</w:t>
      </w:r>
      <w:r w:rsidRPr="00E21314">
        <w:rPr>
          <w:sz w:val="24"/>
          <w:szCs w:val="24"/>
        </w:rPr>
        <w:t xml:space="preserve"> </w:t>
      </w:r>
    </w:p>
    <w:p w:rsidR="00FD407D" w:rsidRDefault="00A6577E" w:rsidP="00650B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1314">
        <w:rPr>
          <w:sz w:val="24"/>
          <w:szCs w:val="24"/>
        </w:rPr>
        <w:t>Zlecenie opracowania Krajowej Oceny Technicznej jest obowiązkiem producenta.</w:t>
      </w:r>
      <w:r w:rsidR="00E21314" w:rsidRPr="00E21314">
        <w:rPr>
          <w:sz w:val="24"/>
          <w:szCs w:val="24"/>
        </w:rPr>
        <w:t xml:space="preserve"> </w:t>
      </w:r>
      <w:r w:rsidR="00FD407D">
        <w:rPr>
          <w:sz w:val="24"/>
          <w:szCs w:val="24"/>
        </w:rPr>
        <w:t xml:space="preserve">Zasady jej opracowania reguluje </w:t>
      </w:r>
      <w:r w:rsidR="00FD407D" w:rsidRPr="002404C8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17 listopada 2016 r. w sprawie krajowych ocen technicznych</w:t>
      </w:r>
      <w:r w:rsidR="00FD407D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FD407D" w:rsidRPr="002404C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2016 poz. 1968</w:t>
      </w:r>
      <w:r w:rsidR="00FD407D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:rsidR="000D2F2C" w:rsidRPr="00A83000" w:rsidRDefault="000D2F2C" w:rsidP="000D2F2C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Pr="00A83000">
        <w:rPr>
          <w:sz w:val="24"/>
          <w:szCs w:val="24"/>
        </w:rPr>
        <w:t xml:space="preserve">rajowa </w:t>
      </w:r>
      <w:r>
        <w:rPr>
          <w:sz w:val="24"/>
          <w:szCs w:val="24"/>
        </w:rPr>
        <w:t>Ocena T</w:t>
      </w:r>
      <w:r w:rsidRPr="00A83000">
        <w:rPr>
          <w:sz w:val="24"/>
          <w:szCs w:val="24"/>
        </w:rPr>
        <w:t>echniczna, zastąpiła od 1 stycznia 20</w:t>
      </w:r>
      <w:r>
        <w:rPr>
          <w:sz w:val="24"/>
          <w:szCs w:val="24"/>
        </w:rPr>
        <w:t>17, krajowe aprobaty techniczne</w:t>
      </w:r>
      <w:r w:rsidRPr="00A83000">
        <w:rPr>
          <w:sz w:val="24"/>
          <w:szCs w:val="24"/>
        </w:rPr>
        <w:t>.</w:t>
      </w:r>
    </w:p>
    <w:p w:rsidR="00FD407D" w:rsidRDefault="000D2F2C" w:rsidP="00650B1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oparciu o raport z badań właściwości użytkowych określonych w KOT oraz raport klasyfikacyjny wystawiony przez Jednostkę Notyfikowaną producent kabla wystawia </w:t>
      </w:r>
      <w:r>
        <w:rPr>
          <w:sz w:val="24"/>
          <w:szCs w:val="24"/>
        </w:rPr>
        <w:t>Krajową Deklarację</w:t>
      </w:r>
      <w:r w:rsidRPr="00E21314">
        <w:rPr>
          <w:sz w:val="24"/>
          <w:szCs w:val="24"/>
        </w:rPr>
        <w:t xml:space="preserve"> Właściwości Użytkowych (KDWU)</w:t>
      </w:r>
      <w:r>
        <w:rPr>
          <w:sz w:val="24"/>
          <w:szCs w:val="24"/>
        </w:rPr>
        <w:t xml:space="preserve"> wg wzoru zawartego w Rozporządzeniu </w:t>
      </w:r>
      <w:r w:rsidRPr="00BA3092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17 listopada 2016 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21314" w:rsidRPr="00E21314" w:rsidRDefault="00E21314" w:rsidP="00650B18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E21314">
        <w:rPr>
          <w:sz w:val="24"/>
          <w:szCs w:val="24"/>
        </w:rPr>
        <w:t>Krajowa Deklaracja Właściwości Użytkowych (KDWU) - obowiązuje dla kabli i  tras kablowych od 30 czerwca 2018 roku.</w:t>
      </w:r>
    </w:p>
    <w:p w:rsidR="00AC2645" w:rsidRDefault="00AC2645" w:rsidP="00AC2645">
      <w:pPr>
        <w:pStyle w:val="Akapitzlist"/>
        <w:ind w:left="0"/>
        <w:jc w:val="both"/>
        <w:rPr>
          <w:sz w:val="24"/>
          <w:szCs w:val="24"/>
        </w:rPr>
      </w:pPr>
      <w:r w:rsidRPr="00E21314">
        <w:rPr>
          <w:sz w:val="24"/>
          <w:szCs w:val="24"/>
        </w:rPr>
        <w:lastRenderedPageBreak/>
        <w:t xml:space="preserve">Kable i przewody do instalacji </w:t>
      </w:r>
      <w:r>
        <w:rPr>
          <w:sz w:val="24"/>
          <w:szCs w:val="24"/>
        </w:rPr>
        <w:t xml:space="preserve">pożarowych mogą być stosowane wyłącznie </w:t>
      </w:r>
      <w:r w:rsidRPr="00AC2645">
        <w:rPr>
          <w:rFonts w:eastAsia="Times New Roman" w:cstheme="minorHAnsi"/>
          <w:sz w:val="24"/>
          <w:szCs w:val="24"/>
          <w:lang w:eastAsia="pl-PL"/>
        </w:rPr>
        <w:t>po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C2645">
        <w:rPr>
          <w:rFonts w:eastAsia="Times New Roman" w:cstheme="minorHAnsi"/>
          <w:sz w:val="24"/>
          <w:szCs w:val="24"/>
          <w:lang w:eastAsia="pl-PL"/>
        </w:rPr>
        <w:t xml:space="preserve">uprzednim uzyskaniu </w:t>
      </w:r>
      <w:r w:rsidRPr="00BF5A28">
        <w:rPr>
          <w:rFonts w:eastAsia="Times New Roman" w:cstheme="minorHAnsi"/>
          <w:b/>
          <w:sz w:val="24"/>
          <w:szCs w:val="24"/>
          <w:lang w:eastAsia="pl-PL"/>
        </w:rPr>
        <w:t xml:space="preserve">świadectwa </w:t>
      </w:r>
      <w:r w:rsidRPr="00AC2645">
        <w:rPr>
          <w:rFonts w:eastAsia="Times New Roman" w:cstheme="minorHAnsi"/>
          <w:b/>
          <w:sz w:val="24"/>
          <w:szCs w:val="24"/>
          <w:lang w:eastAsia="pl-PL"/>
        </w:rPr>
        <w:t>dopuszczenia</w:t>
      </w:r>
      <w:r w:rsidRPr="00AC2645">
        <w:rPr>
          <w:rFonts w:eastAsia="Times New Roman" w:cstheme="minorHAnsi"/>
          <w:sz w:val="24"/>
          <w:szCs w:val="24"/>
          <w:lang w:eastAsia="pl-PL"/>
        </w:rPr>
        <w:t xml:space="preserve"> do użytkowania</w:t>
      </w:r>
      <w:r>
        <w:rPr>
          <w:rFonts w:eastAsia="Times New Roman" w:cstheme="minorHAnsi"/>
          <w:sz w:val="24"/>
          <w:szCs w:val="24"/>
          <w:lang w:eastAsia="pl-PL"/>
        </w:rPr>
        <w:t xml:space="preserve">, wydanego przez akredytowaną jednostkę badawczą np. </w:t>
      </w:r>
      <w:r w:rsidRPr="007073B0">
        <w:rPr>
          <w:sz w:val="24"/>
          <w:szCs w:val="24"/>
        </w:rPr>
        <w:t>Centrum Naukowo-Badawcze Ochrony Przeciwpożarowej</w:t>
      </w:r>
      <w:r>
        <w:rPr>
          <w:sz w:val="24"/>
          <w:szCs w:val="24"/>
        </w:rPr>
        <w:t>.</w:t>
      </w:r>
    </w:p>
    <w:p w:rsidR="00CF7E33" w:rsidRDefault="006F032D" w:rsidP="00CF7E33">
      <w:pPr>
        <w:pStyle w:val="Akapitzlist"/>
        <w:spacing w:after="0" w:line="240" w:lineRule="auto"/>
        <w:ind w:left="0"/>
        <w:rPr>
          <w:sz w:val="24"/>
          <w:szCs w:val="24"/>
        </w:rPr>
      </w:pPr>
      <w:hyperlink r:id="rId6" w:history="1">
        <w:r w:rsidR="00CF7E33" w:rsidRPr="002172C5">
          <w:rPr>
            <w:rStyle w:val="Hipercze"/>
            <w:sz w:val="24"/>
            <w:szCs w:val="24"/>
          </w:rPr>
          <w:t>http://www.cnbop.pl/swiadectwa_dopuszczenia</w:t>
        </w:r>
      </w:hyperlink>
      <w:r w:rsidR="00CF7E33">
        <w:rPr>
          <w:sz w:val="24"/>
          <w:szCs w:val="24"/>
        </w:rPr>
        <w:t xml:space="preserve"> </w:t>
      </w:r>
    </w:p>
    <w:p w:rsidR="00BF5A28" w:rsidRPr="00BF5A28" w:rsidRDefault="00CF7E33" w:rsidP="00BF5A28">
      <w:pPr>
        <w:pStyle w:val="Akapitzlist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  </w:t>
      </w:r>
      <w:r w:rsidR="00BF5A28" w:rsidRPr="00BF5A28">
        <w:rPr>
          <w:rFonts w:eastAsia="Times New Roman" w:cstheme="minorHAnsi"/>
          <w:sz w:val="24"/>
          <w:szCs w:val="24"/>
          <w:lang w:eastAsia="pl-PL"/>
        </w:rPr>
        <w:t>Dopuszczony kabel podlega oznakowaniu przez producenta znakiem jednostki dopuszczającej oraz numerem świadectwa dopuszczenia</w:t>
      </w:r>
    </w:p>
    <w:p w:rsidR="00BF5A28" w:rsidRDefault="00BF5A28" w:rsidP="00BF5A28">
      <w:pPr>
        <w:pStyle w:val="Akapitzlist"/>
        <w:ind w:left="0"/>
        <w:jc w:val="both"/>
        <w:rPr>
          <w:sz w:val="24"/>
          <w:szCs w:val="24"/>
        </w:rPr>
      </w:pPr>
      <w:r w:rsidRPr="00E21314">
        <w:rPr>
          <w:b/>
          <w:sz w:val="24"/>
          <w:szCs w:val="24"/>
        </w:rPr>
        <w:t>Świadectwo dopuszczenia</w:t>
      </w:r>
      <w:r>
        <w:rPr>
          <w:b/>
          <w:sz w:val="24"/>
          <w:szCs w:val="24"/>
        </w:rPr>
        <w:t xml:space="preserve"> </w:t>
      </w:r>
      <w:r w:rsidRPr="00BF5A28">
        <w:rPr>
          <w:sz w:val="24"/>
          <w:szCs w:val="24"/>
        </w:rPr>
        <w:t>wydawane jest</w:t>
      </w:r>
      <w:r>
        <w:rPr>
          <w:sz w:val="24"/>
          <w:szCs w:val="24"/>
        </w:rPr>
        <w:t xml:space="preserve"> w oparciu o Polską Normę lub KOT.</w:t>
      </w:r>
    </w:p>
    <w:p w:rsidR="00512190" w:rsidRDefault="00A6577E" w:rsidP="00CF7E33">
      <w:pPr>
        <w:pStyle w:val="Akapitzlist"/>
        <w:ind w:left="0"/>
        <w:jc w:val="both"/>
        <w:rPr>
          <w:sz w:val="24"/>
          <w:szCs w:val="24"/>
        </w:rPr>
      </w:pPr>
      <w:r w:rsidRPr="00E21314">
        <w:rPr>
          <w:sz w:val="24"/>
          <w:szCs w:val="24"/>
        </w:rPr>
        <w:t>Wszystkie dokumenty takie jak Aprobata techniczna</w:t>
      </w:r>
      <w:r w:rsidR="00BF5A28">
        <w:rPr>
          <w:sz w:val="24"/>
          <w:szCs w:val="24"/>
        </w:rPr>
        <w:t>,</w:t>
      </w:r>
      <w:r w:rsidRPr="00E21314">
        <w:rPr>
          <w:sz w:val="24"/>
          <w:szCs w:val="24"/>
        </w:rPr>
        <w:t xml:space="preserve"> certyfikaty i </w:t>
      </w:r>
      <w:r w:rsidR="006C1088">
        <w:rPr>
          <w:sz w:val="24"/>
          <w:szCs w:val="24"/>
        </w:rPr>
        <w:t xml:space="preserve">świadectwa </w:t>
      </w:r>
      <w:r w:rsidRPr="00E21314">
        <w:rPr>
          <w:sz w:val="24"/>
          <w:szCs w:val="24"/>
        </w:rPr>
        <w:t>dopuszczenia wydane przez CNBOP</w:t>
      </w:r>
      <w:r w:rsidR="00BF5A28">
        <w:rPr>
          <w:sz w:val="24"/>
          <w:szCs w:val="24"/>
        </w:rPr>
        <w:t xml:space="preserve"> </w:t>
      </w:r>
      <w:r w:rsidR="00BF5A28" w:rsidRPr="00CF7E33">
        <w:rPr>
          <w:sz w:val="24"/>
          <w:szCs w:val="24"/>
          <w:u w:val="single"/>
        </w:rPr>
        <w:t>prze</w:t>
      </w:r>
      <w:r w:rsidR="00CF7E33" w:rsidRPr="00CF7E33">
        <w:rPr>
          <w:sz w:val="24"/>
          <w:szCs w:val="24"/>
          <w:u w:val="single"/>
        </w:rPr>
        <w:t>d</w:t>
      </w:r>
      <w:r w:rsidR="00BF5A28" w:rsidRPr="00CF7E33">
        <w:rPr>
          <w:sz w:val="24"/>
          <w:szCs w:val="24"/>
          <w:u w:val="single"/>
        </w:rPr>
        <w:t xml:space="preserve"> dniem 1 stycznia 2017r</w:t>
      </w:r>
      <w:r w:rsidRPr="00E21314">
        <w:rPr>
          <w:sz w:val="24"/>
          <w:szCs w:val="24"/>
        </w:rPr>
        <w:t xml:space="preserve"> mogą być wykorzystywane do końca okresu ich ważności</w:t>
      </w:r>
      <w:r w:rsidR="00CF7E33">
        <w:rPr>
          <w:sz w:val="24"/>
          <w:szCs w:val="24"/>
        </w:rPr>
        <w:t>.</w:t>
      </w:r>
    </w:p>
    <w:p w:rsidR="00E21314" w:rsidRDefault="00E21314" w:rsidP="00CF7E33">
      <w:pPr>
        <w:pStyle w:val="Akapitzlist"/>
        <w:ind w:left="1080"/>
        <w:jc w:val="both"/>
        <w:rPr>
          <w:sz w:val="24"/>
          <w:szCs w:val="24"/>
        </w:rPr>
      </w:pPr>
    </w:p>
    <w:p w:rsidR="00A3209F" w:rsidRPr="006F1A87" w:rsidRDefault="00242D02" w:rsidP="00656F92">
      <w:pPr>
        <w:pStyle w:val="Akapitzlist"/>
        <w:numPr>
          <w:ilvl w:val="0"/>
          <w:numId w:val="1"/>
        </w:numPr>
        <w:ind w:left="720"/>
        <w:rPr>
          <w:b/>
          <w:sz w:val="28"/>
          <w:szCs w:val="28"/>
        </w:rPr>
      </w:pPr>
      <w:r w:rsidRPr="006F1A87">
        <w:rPr>
          <w:b/>
          <w:sz w:val="28"/>
          <w:szCs w:val="28"/>
        </w:rPr>
        <w:t>Kable w tunelach metra</w:t>
      </w:r>
      <w:r w:rsidR="00E37AF7" w:rsidRPr="006F1A87">
        <w:rPr>
          <w:b/>
          <w:sz w:val="28"/>
          <w:szCs w:val="28"/>
        </w:rPr>
        <w:t xml:space="preserve"> i tunelach kolejowych</w:t>
      </w:r>
    </w:p>
    <w:p w:rsidR="00CC7C22" w:rsidRPr="00656F92" w:rsidRDefault="00242D02" w:rsidP="00656F92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656F92">
        <w:rPr>
          <w:b/>
          <w:sz w:val="24"/>
          <w:szCs w:val="24"/>
        </w:rPr>
        <w:t>ROZPORZĄDZENIE MINISTRA INFRASTRUKTURY z dnia 17 czerwca 2011 r. w sprawie warunków technicznych, jakim powinny odpowiadać obiekty budowlane metra i ich usytuowanie.</w:t>
      </w:r>
    </w:p>
    <w:p w:rsidR="00242D02" w:rsidRDefault="00242D02" w:rsidP="00656F92">
      <w:pPr>
        <w:pStyle w:val="Akapitzlist"/>
        <w:ind w:left="0"/>
        <w:jc w:val="both"/>
        <w:rPr>
          <w:sz w:val="24"/>
          <w:szCs w:val="24"/>
        </w:rPr>
      </w:pPr>
      <w:r w:rsidRPr="00242D02">
        <w:rPr>
          <w:sz w:val="24"/>
          <w:szCs w:val="24"/>
        </w:rPr>
        <w:t>Kable,</w:t>
      </w:r>
      <w:r>
        <w:rPr>
          <w:sz w:val="24"/>
          <w:szCs w:val="24"/>
        </w:rPr>
        <w:t xml:space="preserve"> </w:t>
      </w:r>
      <w:r w:rsidRPr="00242D02">
        <w:rPr>
          <w:sz w:val="24"/>
          <w:szCs w:val="24"/>
        </w:rPr>
        <w:t>przewody</w:t>
      </w:r>
      <w:r>
        <w:rPr>
          <w:sz w:val="24"/>
          <w:szCs w:val="24"/>
        </w:rPr>
        <w:t xml:space="preserve"> </w:t>
      </w:r>
      <w:r w:rsidRPr="00242D02">
        <w:rPr>
          <w:sz w:val="24"/>
          <w:szCs w:val="24"/>
        </w:rPr>
        <w:t>oraz</w:t>
      </w:r>
      <w:r>
        <w:rPr>
          <w:sz w:val="24"/>
          <w:szCs w:val="24"/>
        </w:rPr>
        <w:t xml:space="preserve"> </w:t>
      </w:r>
      <w:r w:rsidRPr="00242D02">
        <w:rPr>
          <w:sz w:val="24"/>
          <w:szCs w:val="24"/>
        </w:rPr>
        <w:t>ich</w:t>
      </w:r>
      <w:r>
        <w:rPr>
          <w:sz w:val="24"/>
          <w:szCs w:val="24"/>
        </w:rPr>
        <w:t xml:space="preserve"> </w:t>
      </w:r>
      <w:r w:rsidRPr="00242D02">
        <w:rPr>
          <w:sz w:val="24"/>
          <w:szCs w:val="24"/>
        </w:rPr>
        <w:t>osłony</w:t>
      </w:r>
      <w:r>
        <w:rPr>
          <w:sz w:val="24"/>
          <w:szCs w:val="24"/>
        </w:rPr>
        <w:t xml:space="preserve"> </w:t>
      </w:r>
      <w:r w:rsidRPr="00242D02">
        <w:rPr>
          <w:sz w:val="24"/>
          <w:szCs w:val="24"/>
        </w:rPr>
        <w:t>zainstalowane</w:t>
      </w:r>
      <w:r>
        <w:rPr>
          <w:sz w:val="24"/>
          <w:szCs w:val="24"/>
        </w:rPr>
        <w:t xml:space="preserve"> </w:t>
      </w:r>
      <w:r w:rsidRPr="00242D02">
        <w:rPr>
          <w:sz w:val="24"/>
          <w:szCs w:val="24"/>
        </w:rPr>
        <w:t>wewnątrz</w:t>
      </w:r>
      <w:r>
        <w:rPr>
          <w:sz w:val="24"/>
          <w:szCs w:val="24"/>
        </w:rPr>
        <w:t xml:space="preserve"> </w:t>
      </w:r>
      <w:r w:rsidRPr="00242D02">
        <w:rPr>
          <w:sz w:val="24"/>
          <w:szCs w:val="24"/>
        </w:rPr>
        <w:t>tunelu</w:t>
      </w:r>
      <w:r>
        <w:rPr>
          <w:sz w:val="24"/>
          <w:szCs w:val="24"/>
        </w:rPr>
        <w:t xml:space="preserve"> </w:t>
      </w:r>
      <w:r w:rsidRPr="00242D02">
        <w:rPr>
          <w:sz w:val="24"/>
          <w:szCs w:val="24"/>
        </w:rPr>
        <w:t>lub</w:t>
      </w:r>
      <w:r>
        <w:rPr>
          <w:sz w:val="24"/>
          <w:szCs w:val="24"/>
        </w:rPr>
        <w:t xml:space="preserve"> </w:t>
      </w:r>
      <w:r w:rsidRPr="00242D02">
        <w:rPr>
          <w:sz w:val="24"/>
          <w:szCs w:val="24"/>
        </w:rPr>
        <w:t>stacji</w:t>
      </w:r>
      <w:r w:rsidR="00FC4C62">
        <w:rPr>
          <w:sz w:val="24"/>
          <w:szCs w:val="24"/>
        </w:rPr>
        <w:t xml:space="preserve"> </w:t>
      </w:r>
      <w:r w:rsidRPr="00FC4C62">
        <w:rPr>
          <w:sz w:val="24"/>
          <w:szCs w:val="24"/>
        </w:rPr>
        <w:t>metra</w:t>
      </w:r>
      <w:r w:rsidR="00FC4C62">
        <w:rPr>
          <w:sz w:val="24"/>
          <w:szCs w:val="24"/>
        </w:rPr>
        <w:t xml:space="preserve"> </w:t>
      </w:r>
      <w:r w:rsidRPr="00FC4C62">
        <w:rPr>
          <w:sz w:val="24"/>
          <w:szCs w:val="24"/>
        </w:rPr>
        <w:t>powinny</w:t>
      </w:r>
      <w:r w:rsidR="00FC4C62">
        <w:rPr>
          <w:sz w:val="24"/>
          <w:szCs w:val="24"/>
        </w:rPr>
        <w:t xml:space="preserve"> </w:t>
      </w:r>
      <w:r w:rsidRPr="00FC4C62">
        <w:rPr>
          <w:sz w:val="24"/>
          <w:szCs w:val="24"/>
        </w:rPr>
        <w:t>być</w:t>
      </w:r>
      <w:r w:rsidR="00FC4C62">
        <w:rPr>
          <w:sz w:val="24"/>
          <w:szCs w:val="24"/>
        </w:rPr>
        <w:t xml:space="preserve"> </w:t>
      </w:r>
      <w:r w:rsidRPr="00FC4C62">
        <w:rPr>
          <w:sz w:val="24"/>
          <w:szCs w:val="24"/>
        </w:rPr>
        <w:t>co</w:t>
      </w:r>
      <w:r w:rsidR="00FC4C62">
        <w:rPr>
          <w:sz w:val="24"/>
          <w:szCs w:val="24"/>
        </w:rPr>
        <w:t xml:space="preserve"> </w:t>
      </w:r>
      <w:r w:rsidRPr="00FC4C62">
        <w:rPr>
          <w:sz w:val="24"/>
          <w:szCs w:val="24"/>
        </w:rPr>
        <w:t>najmniej</w:t>
      </w:r>
      <w:r w:rsidR="00FC4C62">
        <w:rPr>
          <w:sz w:val="24"/>
          <w:szCs w:val="24"/>
        </w:rPr>
        <w:t xml:space="preserve"> </w:t>
      </w:r>
      <w:r w:rsidRPr="00FC4C62">
        <w:rPr>
          <w:sz w:val="24"/>
          <w:szCs w:val="24"/>
        </w:rPr>
        <w:t>klasy</w:t>
      </w:r>
      <w:r w:rsidR="00FC4C62">
        <w:rPr>
          <w:sz w:val="24"/>
          <w:szCs w:val="24"/>
        </w:rPr>
        <w:t xml:space="preserve"> </w:t>
      </w:r>
      <w:r w:rsidRPr="00FC4C62">
        <w:rPr>
          <w:sz w:val="24"/>
          <w:szCs w:val="24"/>
        </w:rPr>
        <w:t>reakcji</w:t>
      </w:r>
      <w:r w:rsidR="00FC4C62">
        <w:rPr>
          <w:sz w:val="24"/>
          <w:szCs w:val="24"/>
        </w:rPr>
        <w:t xml:space="preserve"> </w:t>
      </w:r>
      <w:r w:rsidRPr="00FC4C62">
        <w:rPr>
          <w:sz w:val="24"/>
          <w:szCs w:val="24"/>
        </w:rPr>
        <w:t>na</w:t>
      </w:r>
      <w:r w:rsidR="00FC4C62">
        <w:rPr>
          <w:sz w:val="24"/>
          <w:szCs w:val="24"/>
        </w:rPr>
        <w:t xml:space="preserve"> </w:t>
      </w:r>
      <w:r w:rsidRPr="00FC4C62">
        <w:rPr>
          <w:sz w:val="24"/>
          <w:szCs w:val="24"/>
        </w:rPr>
        <w:t>ogień</w:t>
      </w:r>
      <w:r w:rsidR="00CC7C22"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B-s3,d0,a</w:t>
      </w:r>
      <w:r w:rsidR="00FC4C62" w:rsidRPr="00CC7C22"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produkty</w:t>
      </w:r>
      <w:r w:rsidR="00FC4C62" w:rsidRPr="00CC7C22"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ich</w:t>
      </w:r>
      <w:r w:rsidR="00FC4C62" w:rsidRPr="00CC7C22"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rozkładu</w:t>
      </w:r>
      <w:r w:rsidR="00FC4C62" w:rsidRPr="00CC7C22"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termicznego</w:t>
      </w:r>
      <w:r w:rsidR="00FC4C62" w:rsidRPr="00CC7C22">
        <w:rPr>
          <w:sz w:val="24"/>
          <w:szCs w:val="24"/>
        </w:rPr>
        <w:t xml:space="preserve"> </w:t>
      </w:r>
      <w:r w:rsidR="00656F92">
        <w:rPr>
          <w:sz w:val="24"/>
          <w:szCs w:val="24"/>
        </w:rPr>
        <w:t xml:space="preserve">                            </w:t>
      </w:r>
      <w:r w:rsidRPr="00CC7C22">
        <w:rPr>
          <w:sz w:val="24"/>
          <w:szCs w:val="24"/>
        </w:rPr>
        <w:t>o</w:t>
      </w:r>
      <w:r w:rsidR="00FC4C62" w:rsidRPr="00CC7C22"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kwasowości</w:t>
      </w:r>
      <w:r w:rsidR="00FC4C62" w:rsidRPr="00CC7C22"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mniejszej</w:t>
      </w:r>
      <w:r w:rsidR="00FC4C62" w:rsidRPr="00CC7C22"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niż</w:t>
      </w:r>
      <w:r w:rsidR="00FC4C62" w:rsidRPr="00CC7C22">
        <w:rPr>
          <w:sz w:val="24"/>
          <w:szCs w:val="24"/>
        </w:rPr>
        <w:t xml:space="preserve"> </w:t>
      </w:r>
      <w:r w:rsidR="00962FEB">
        <w:rPr>
          <w:sz w:val="24"/>
          <w:szCs w:val="24"/>
        </w:rPr>
        <w:t>pH</w:t>
      </w:r>
      <w:r w:rsidR="00FC4C62" w:rsidRPr="00CC7C22"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4,3</w:t>
      </w:r>
      <w:r w:rsidR="00CC7C22">
        <w:rPr>
          <w:sz w:val="24"/>
          <w:szCs w:val="24"/>
        </w:rPr>
        <w:t>.</w:t>
      </w:r>
    </w:p>
    <w:p w:rsidR="00CC7C22" w:rsidRPr="00CC7C22" w:rsidRDefault="00CC7C22" w:rsidP="00F62DEC">
      <w:pPr>
        <w:pStyle w:val="Akapitzlist"/>
        <w:ind w:left="1080"/>
        <w:rPr>
          <w:sz w:val="24"/>
          <w:szCs w:val="24"/>
        </w:rPr>
      </w:pPr>
    </w:p>
    <w:p w:rsidR="00CC7C22" w:rsidRPr="00656F92" w:rsidRDefault="00CC7C22" w:rsidP="00656F92">
      <w:pPr>
        <w:pStyle w:val="Akapitzlist"/>
        <w:numPr>
          <w:ilvl w:val="0"/>
          <w:numId w:val="5"/>
        </w:numPr>
        <w:rPr>
          <w:b/>
          <w:sz w:val="24"/>
          <w:szCs w:val="24"/>
        </w:rPr>
      </w:pPr>
      <w:r w:rsidRPr="00656F92">
        <w:rPr>
          <w:b/>
          <w:sz w:val="24"/>
          <w:szCs w:val="24"/>
        </w:rPr>
        <w:t xml:space="preserve">ROZPORZĄDZENIE KOMISJI (UE) NR 1303/2014 z dnia 18 listopada 2014 r. w sprawie technicznej specyfikacji interoperacyjności w zakresie aspektu „Bezpieczeństwo w tunelach kolejowych” systemu kolei w Unii Europejskiej </w:t>
      </w:r>
    </w:p>
    <w:p w:rsidR="00CC7C22" w:rsidRPr="00CC7C22" w:rsidRDefault="00CC7C22" w:rsidP="00440F6E">
      <w:pPr>
        <w:pStyle w:val="Akapitzlist"/>
        <w:ind w:left="0"/>
        <w:jc w:val="both"/>
        <w:rPr>
          <w:sz w:val="24"/>
          <w:szCs w:val="24"/>
        </w:rPr>
      </w:pPr>
      <w:r w:rsidRPr="00CC7C22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wypadek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pożaru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odkryte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kable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elektryczne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muszą</w:t>
      </w:r>
      <w:r>
        <w:rPr>
          <w:sz w:val="24"/>
          <w:szCs w:val="24"/>
        </w:rPr>
        <w:t xml:space="preserve">  </w:t>
      </w:r>
      <w:r w:rsidRPr="00CC7C22">
        <w:rPr>
          <w:sz w:val="24"/>
          <w:szCs w:val="24"/>
        </w:rPr>
        <w:t>charakteryzować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się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niską</w:t>
      </w:r>
      <w:r w:rsidR="00440F6E">
        <w:rPr>
          <w:sz w:val="24"/>
          <w:szCs w:val="24"/>
        </w:rPr>
        <w:t xml:space="preserve"> </w:t>
      </w:r>
      <w:r w:rsidR="00656F92">
        <w:rPr>
          <w:sz w:val="24"/>
          <w:szCs w:val="24"/>
        </w:rPr>
        <w:t>p</w:t>
      </w:r>
      <w:r w:rsidRPr="00CC7C22">
        <w:rPr>
          <w:sz w:val="24"/>
          <w:szCs w:val="24"/>
        </w:rPr>
        <w:t>alnością</w:t>
      </w:r>
      <w:r w:rsidR="00440F6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niskim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stopniem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rozprzestrzeniania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ognia,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niską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toksycznością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oraz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niską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gęstością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wytwarzanego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dymu.</w:t>
      </w:r>
    </w:p>
    <w:p w:rsidR="00CC7C22" w:rsidRPr="00E37AF7" w:rsidRDefault="00CC7C22" w:rsidP="00656F92">
      <w:pPr>
        <w:pStyle w:val="Akapitzlist"/>
        <w:ind w:left="0"/>
        <w:rPr>
          <w:sz w:val="24"/>
          <w:szCs w:val="24"/>
        </w:rPr>
      </w:pPr>
      <w:r w:rsidRPr="00CC7C22">
        <w:rPr>
          <w:sz w:val="24"/>
          <w:szCs w:val="24"/>
        </w:rPr>
        <w:t>Wymagania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te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uznaje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się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spełnione,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jeżeli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kable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te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spełniają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jako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minimum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wymagania</w:t>
      </w:r>
      <w:r>
        <w:rPr>
          <w:sz w:val="24"/>
          <w:szCs w:val="24"/>
        </w:rPr>
        <w:t xml:space="preserve"> </w:t>
      </w:r>
      <w:r w:rsidRPr="00CC7C22">
        <w:rPr>
          <w:sz w:val="24"/>
          <w:szCs w:val="24"/>
        </w:rPr>
        <w:t>klasy</w:t>
      </w:r>
      <w:r>
        <w:rPr>
          <w:sz w:val="24"/>
          <w:szCs w:val="24"/>
        </w:rPr>
        <w:t xml:space="preserve"> </w:t>
      </w:r>
      <w:r w:rsidRPr="00656F92">
        <w:rPr>
          <w:b/>
          <w:sz w:val="24"/>
          <w:szCs w:val="24"/>
        </w:rPr>
        <w:t>B2</w:t>
      </w:r>
      <w:r w:rsidR="00E37AF7" w:rsidRPr="00656F92">
        <w:rPr>
          <w:b/>
          <w:sz w:val="24"/>
          <w:szCs w:val="24"/>
        </w:rPr>
        <w:t>ca</w:t>
      </w:r>
      <w:r w:rsidRPr="00656F92">
        <w:rPr>
          <w:b/>
          <w:sz w:val="24"/>
          <w:szCs w:val="24"/>
        </w:rPr>
        <w:t>,s1a,a1</w:t>
      </w:r>
      <w:r w:rsidRPr="00E37AF7">
        <w:rPr>
          <w:sz w:val="24"/>
          <w:szCs w:val="24"/>
        </w:rPr>
        <w:t>,zgodnie</w:t>
      </w:r>
      <w:r w:rsidR="00E37AF7">
        <w:rPr>
          <w:sz w:val="24"/>
          <w:szCs w:val="24"/>
        </w:rPr>
        <w:t xml:space="preserve"> </w:t>
      </w:r>
      <w:r w:rsidRPr="00E37AF7">
        <w:rPr>
          <w:sz w:val="24"/>
          <w:szCs w:val="24"/>
        </w:rPr>
        <w:t>z</w:t>
      </w:r>
      <w:r w:rsidR="00E37AF7">
        <w:rPr>
          <w:sz w:val="24"/>
          <w:szCs w:val="24"/>
        </w:rPr>
        <w:t xml:space="preserve"> </w:t>
      </w:r>
      <w:r w:rsidRPr="00E37AF7">
        <w:rPr>
          <w:sz w:val="24"/>
          <w:szCs w:val="24"/>
        </w:rPr>
        <w:t>decyzją</w:t>
      </w:r>
      <w:r w:rsidR="00E37AF7">
        <w:rPr>
          <w:sz w:val="24"/>
          <w:szCs w:val="24"/>
        </w:rPr>
        <w:t xml:space="preserve"> </w:t>
      </w:r>
      <w:r w:rsidRPr="00E37AF7">
        <w:rPr>
          <w:sz w:val="24"/>
          <w:szCs w:val="24"/>
        </w:rPr>
        <w:t>Komisji</w:t>
      </w:r>
      <w:r w:rsidR="00E37AF7">
        <w:rPr>
          <w:sz w:val="24"/>
          <w:szCs w:val="24"/>
        </w:rPr>
        <w:t xml:space="preserve"> </w:t>
      </w:r>
      <w:r w:rsidRPr="00E37AF7">
        <w:rPr>
          <w:sz w:val="24"/>
          <w:szCs w:val="24"/>
        </w:rPr>
        <w:t>2006/751/EC.</w:t>
      </w:r>
    </w:p>
    <w:p w:rsidR="00A36447" w:rsidRPr="00B72E54" w:rsidRDefault="00656F92" w:rsidP="00440F6E">
      <w:pPr>
        <w:jc w:val="both"/>
        <w:rPr>
          <w:sz w:val="24"/>
          <w:szCs w:val="24"/>
        </w:rPr>
      </w:pPr>
      <w:r>
        <w:rPr>
          <w:sz w:val="24"/>
          <w:szCs w:val="24"/>
        </w:rPr>
        <w:t>Obowiązują te same zasady (badania i systemy certyfikacji oraz dokumenty, za które odpowiada producen</w:t>
      </w:r>
      <w:r w:rsidR="006A6B8C">
        <w:rPr>
          <w:sz w:val="24"/>
          <w:szCs w:val="24"/>
        </w:rPr>
        <w:t>t</w:t>
      </w:r>
      <w:r>
        <w:rPr>
          <w:sz w:val="24"/>
          <w:szCs w:val="24"/>
        </w:rPr>
        <w:t xml:space="preserve"> kabla ) jak w przypadku Rozporządzenia CPR</w:t>
      </w:r>
      <w:r w:rsidR="006A6B8C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</w:t>
      </w:r>
    </w:p>
    <w:p w:rsidR="0079458E" w:rsidRDefault="0079458E" w:rsidP="00F62DEC">
      <w:pPr>
        <w:pStyle w:val="Akapitzlist"/>
        <w:ind w:left="1080"/>
        <w:rPr>
          <w:sz w:val="24"/>
          <w:szCs w:val="24"/>
        </w:rPr>
      </w:pPr>
    </w:p>
    <w:p w:rsidR="0079458E" w:rsidRDefault="0079458E" w:rsidP="00F62DE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Uwaga ogólna :</w:t>
      </w:r>
    </w:p>
    <w:p w:rsidR="0079458E" w:rsidRPr="0079458E" w:rsidRDefault="0079458E" w:rsidP="00F62DEC">
      <w:pPr>
        <w:rPr>
          <w:sz w:val="24"/>
          <w:szCs w:val="24"/>
        </w:rPr>
      </w:pPr>
      <w:r w:rsidRPr="0079458E">
        <w:rPr>
          <w:sz w:val="24"/>
          <w:szCs w:val="24"/>
        </w:rPr>
        <w:t>Nie można na ten sam produkt żądać okazania Deklaracji DWU oraz Deklaracji KDWU, bowiem deklaracje te dotyczą innych grup produktowych.</w:t>
      </w:r>
    </w:p>
    <w:p w:rsidR="00E37AF7" w:rsidRDefault="00E37AF7" w:rsidP="00F62DEC">
      <w:pPr>
        <w:pStyle w:val="Akapitzlist"/>
        <w:ind w:left="1080"/>
        <w:rPr>
          <w:sz w:val="24"/>
          <w:szCs w:val="24"/>
        </w:rPr>
      </w:pPr>
    </w:p>
    <w:p w:rsidR="00E37AF7" w:rsidRPr="00846B46" w:rsidRDefault="00E37AF7" w:rsidP="00846B46">
      <w:pPr>
        <w:pStyle w:val="Akapitzlist"/>
        <w:ind w:left="1080"/>
        <w:rPr>
          <w:sz w:val="24"/>
          <w:szCs w:val="24"/>
        </w:rPr>
      </w:pPr>
      <w:r w:rsidRPr="00E37AF7">
        <w:rPr>
          <w:sz w:val="24"/>
          <w:szCs w:val="24"/>
        </w:rPr>
        <w:t>O</w:t>
      </w:r>
      <w:r w:rsidRPr="00846B46">
        <w:rPr>
          <w:sz w:val="24"/>
          <w:szCs w:val="24"/>
        </w:rPr>
        <w:t xml:space="preserve">pracował </w:t>
      </w:r>
    </w:p>
    <w:p w:rsidR="00E37AF7" w:rsidRDefault="00E37AF7" w:rsidP="00F62DE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Janusz Nowastowski</w:t>
      </w:r>
    </w:p>
    <w:p w:rsidR="004C1295" w:rsidRDefault="00846B46" w:rsidP="00CF7E33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POLSKA IZBA GOSPODARCZA ELEKTROTECHNIKI</w:t>
      </w:r>
    </w:p>
    <w:p w:rsidR="00846B46" w:rsidRDefault="00846B46" w:rsidP="00CF7E33">
      <w:pPr>
        <w:pStyle w:val="Akapitzlist"/>
        <w:ind w:left="1080"/>
      </w:pPr>
      <w:r>
        <w:rPr>
          <w:sz w:val="24"/>
          <w:szCs w:val="24"/>
        </w:rPr>
        <w:t>ODDZIAŁ BYDGOSKI SEP</w:t>
      </w:r>
    </w:p>
    <w:sectPr w:rsidR="00846B46" w:rsidSect="008D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40D94"/>
    <w:multiLevelType w:val="hybridMultilevel"/>
    <w:tmpl w:val="C2D634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C447EB"/>
    <w:multiLevelType w:val="hybridMultilevel"/>
    <w:tmpl w:val="81C297A8"/>
    <w:lvl w:ilvl="0" w:tplc="A2C88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101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682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2AD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2AF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09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427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96B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3A0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804ABF"/>
    <w:multiLevelType w:val="hybridMultilevel"/>
    <w:tmpl w:val="6BA877BA"/>
    <w:lvl w:ilvl="0" w:tplc="04150013">
      <w:start w:val="1"/>
      <w:numFmt w:val="upperRoman"/>
      <w:lvlText w:val="%1."/>
      <w:lvlJc w:val="righ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4296C78"/>
    <w:multiLevelType w:val="hybridMultilevel"/>
    <w:tmpl w:val="2DE29884"/>
    <w:lvl w:ilvl="0" w:tplc="A628E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DA7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E20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88A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1ED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E2C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444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43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26D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F2F692E"/>
    <w:multiLevelType w:val="hybridMultilevel"/>
    <w:tmpl w:val="D06A2BE6"/>
    <w:lvl w:ilvl="0" w:tplc="39EA2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95"/>
    <w:rsid w:val="000131C6"/>
    <w:rsid w:val="00033FA6"/>
    <w:rsid w:val="0005546A"/>
    <w:rsid w:val="000D2F2C"/>
    <w:rsid w:val="000E4964"/>
    <w:rsid w:val="001069A3"/>
    <w:rsid w:val="001B124E"/>
    <w:rsid w:val="001C7AA7"/>
    <w:rsid w:val="001D012C"/>
    <w:rsid w:val="00242D02"/>
    <w:rsid w:val="002956AA"/>
    <w:rsid w:val="003234BC"/>
    <w:rsid w:val="0032404B"/>
    <w:rsid w:val="004008D4"/>
    <w:rsid w:val="00440F6E"/>
    <w:rsid w:val="004C1295"/>
    <w:rsid w:val="005047B5"/>
    <w:rsid w:val="00512190"/>
    <w:rsid w:val="0052459F"/>
    <w:rsid w:val="00527ECA"/>
    <w:rsid w:val="00544943"/>
    <w:rsid w:val="005F6ED4"/>
    <w:rsid w:val="00650B18"/>
    <w:rsid w:val="00656F92"/>
    <w:rsid w:val="00663AED"/>
    <w:rsid w:val="006A6B8C"/>
    <w:rsid w:val="006C1088"/>
    <w:rsid w:val="006F032D"/>
    <w:rsid w:val="006F1A87"/>
    <w:rsid w:val="007073B0"/>
    <w:rsid w:val="00727E60"/>
    <w:rsid w:val="007513D8"/>
    <w:rsid w:val="00770D17"/>
    <w:rsid w:val="0079458E"/>
    <w:rsid w:val="007A211B"/>
    <w:rsid w:val="007E37AA"/>
    <w:rsid w:val="00815987"/>
    <w:rsid w:val="00846B46"/>
    <w:rsid w:val="00846F8D"/>
    <w:rsid w:val="008D3B8D"/>
    <w:rsid w:val="008E25B7"/>
    <w:rsid w:val="00915F9B"/>
    <w:rsid w:val="00926296"/>
    <w:rsid w:val="00962FEB"/>
    <w:rsid w:val="00987C1F"/>
    <w:rsid w:val="00A3209F"/>
    <w:rsid w:val="00A36447"/>
    <w:rsid w:val="00A6577E"/>
    <w:rsid w:val="00A83000"/>
    <w:rsid w:val="00AC081A"/>
    <w:rsid w:val="00AC2645"/>
    <w:rsid w:val="00AD1056"/>
    <w:rsid w:val="00B72E54"/>
    <w:rsid w:val="00BF5A28"/>
    <w:rsid w:val="00C15127"/>
    <w:rsid w:val="00C32A8F"/>
    <w:rsid w:val="00C85F85"/>
    <w:rsid w:val="00C91321"/>
    <w:rsid w:val="00CC7C22"/>
    <w:rsid w:val="00CF7E33"/>
    <w:rsid w:val="00D5259F"/>
    <w:rsid w:val="00D620E4"/>
    <w:rsid w:val="00D93B6D"/>
    <w:rsid w:val="00DF6B21"/>
    <w:rsid w:val="00E0163F"/>
    <w:rsid w:val="00E21314"/>
    <w:rsid w:val="00E37AF7"/>
    <w:rsid w:val="00E6178D"/>
    <w:rsid w:val="00E725BC"/>
    <w:rsid w:val="00EF0EBD"/>
    <w:rsid w:val="00F0053F"/>
    <w:rsid w:val="00F50774"/>
    <w:rsid w:val="00F60EAE"/>
    <w:rsid w:val="00F62DEC"/>
    <w:rsid w:val="00FB21F7"/>
    <w:rsid w:val="00FB3032"/>
    <w:rsid w:val="00FC4C62"/>
    <w:rsid w:val="00FD407D"/>
    <w:rsid w:val="00FE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34C72-4798-4588-B13D-6C666CAA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2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20E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0E4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FB3032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B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D3B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5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4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0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90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525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bop.pl/swiadectwa_dopuszczenia" TargetMode="External"/><Relationship Id="rId5" Type="http://schemas.openxmlformats.org/officeDocument/2006/relationships/hyperlink" Target="https://pkn.pl/sites/default/files/sites/default/files/imce/files/dyrektywy/2014_35_U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2065</Words>
  <Characters>12393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Nowastowski</dc:creator>
  <cp:lastModifiedBy>PIGE</cp:lastModifiedBy>
  <cp:revision>2</cp:revision>
  <dcterms:created xsi:type="dcterms:W3CDTF">2019-03-12T08:33:00Z</dcterms:created>
  <dcterms:modified xsi:type="dcterms:W3CDTF">2019-03-12T08:33:00Z</dcterms:modified>
</cp:coreProperties>
</file>